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EF942" w14:textId="36A5A760" w:rsidR="004C026D" w:rsidRDefault="004C026D" w:rsidP="004C026D">
      <w:pPr>
        <w:tabs>
          <w:tab w:val="decimal" w:pos="2268"/>
          <w:tab w:val="left" w:pos="7480"/>
        </w:tabs>
        <w:jc w:val="center"/>
        <w:rPr>
          <w:b/>
          <w:caps/>
        </w:rPr>
      </w:pPr>
      <w:bookmarkStart w:id="0" w:name="_GoBack"/>
      <w:bookmarkEnd w:id="0"/>
      <w:r w:rsidRPr="00295728">
        <w:rPr>
          <w:b/>
          <w:caps/>
        </w:rPr>
        <w:t>EXTRACT of</w:t>
      </w:r>
      <w:r w:rsidR="006C54F0">
        <w:rPr>
          <w:b/>
          <w:caps/>
        </w:rPr>
        <w:t xml:space="preserve"> ENERGY</w:t>
      </w:r>
      <w:r>
        <w:rPr>
          <w:b/>
          <w:caps/>
        </w:rPr>
        <w:t xml:space="preserve"> ENGINEERING </w:t>
      </w:r>
      <w:r w:rsidR="008D2C95">
        <w:rPr>
          <w:b/>
          <w:caps/>
        </w:rPr>
        <w:t xml:space="preserve">study field </w:t>
      </w:r>
      <w:r w:rsidR="004B2E14">
        <w:rPr>
          <w:b/>
          <w:caps/>
        </w:rPr>
        <w:t xml:space="preserve">evaluation report </w:t>
      </w:r>
      <w:r w:rsidR="008D2C95">
        <w:rPr>
          <w:b/>
          <w:caps/>
        </w:rPr>
        <w:t>at vilnius gedi</w:t>
      </w:r>
      <w:r w:rsidR="00216A9E">
        <w:rPr>
          <w:b/>
          <w:caps/>
        </w:rPr>
        <w:t>M</w:t>
      </w:r>
      <w:r w:rsidR="008D2C95">
        <w:rPr>
          <w:b/>
          <w:caps/>
        </w:rPr>
        <w:t>i</w:t>
      </w:r>
      <w:r w:rsidR="00216A9E">
        <w:rPr>
          <w:b/>
          <w:caps/>
        </w:rPr>
        <w:t>N</w:t>
      </w:r>
      <w:r w:rsidR="008D2C95">
        <w:rPr>
          <w:b/>
          <w:caps/>
        </w:rPr>
        <w:t>as technical university</w:t>
      </w:r>
      <w:r>
        <w:rPr>
          <w:b/>
          <w:caps/>
        </w:rPr>
        <w:t xml:space="preserve"> </w:t>
      </w:r>
    </w:p>
    <w:p w14:paraId="16FEF943" w14:textId="77777777" w:rsidR="004C026D" w:rsidRPr="006501B9" w:rsidRDefault="00367E21" w:rsidP="004C026D">
      <w:pPr>
        <w:tabs>
          <w:tab w:val="decimal" w:pos="2268"/>
          <w:tab w:val="left" w:pos="7480"/>
        </w:tabs>
        <w:jc w:val="center"/>
        <w:rPr>
          <w:b/>
          <w:caps/>
        </w:rPr>
      </w:pPr>
      <w:r>
        <w:rPr>
          <w:b/>
          <w:caps/>
        </w:rPr>
        <w:t>THE 22 OF JULY</w:t>
      </w:r>
      <w:r w:rsidR="004C026D">
        <w:rPr>
          <w:b/>
          <w:caps/>
        </w:rPr>
        <w:t xml:space="preserve"> 2</w:t>
      </w:r>
      <w:r>
        <w:rPr>
          <w:b/>
          <w:caps/>
        </w:rPr>
        <w:t>021 evaluation report NO. sv4-75</w:t>
      </w:r>
    </w:p>
    <w:p w14:paraId="16FEF944" w14:textId="77777777" w:rsidR="004C026D" w:rsidRPr="00295728" w:rsidRDefault="004C026D" w:rsidP="004C026D">
      <w:pPr>
        <w:jc w:val="center"/>
        <w:rPr>
          <w:sz w:val="16"/>
          <w:lang w:val="lt-LT"/>
        </w:rPr>
      </w:pPr>
    </w:p>
    <w:p w14:paraId="16FEF945" w14:textId="77777777" w:rsidR="004C026D" w:rsidRPr="00295728" w:rsidRDefault="004C026D" w:rsidP="004C026D">
      <w:pPr>
        <w:rPr>
          <w:sz w:val="16"/>
          <w:lang w:val="lt-LT"/>
        </w:rPr>
      </w:pPr>
    </w:p>
    <w:p w14:paraId="16FEF946" w14:textId="77777777" w:rsidR="004C026D" w:rsidRPr="004715B5" w:rsidRDefault="004C026D" w:rsidP="004C026D">
      <w:pPr>
        <w:jc w:val="center"/>
        <w:rPr>
          <w:rFonts w:ascii="Cambria" w:eastAsia="Calibri" w:hAnsi="Cambria"/>
          <w:i/>
          <w:sz w:val="36"/>
          <w:szCs w:val="36"/>
          <w:lang w:eastAsia="lt-LT"/>
        </w:rPr>
      </w:pPr>
      <w:r>
        <w:rPr>
          <w:i/>
          <w:noProof/>
          <w:sz w:val="36"/>
          <w:szCs w:val="36"/>
          <w:lang w:val="lt-LT" w:eastAsia="lt-LT"/>
        </w:rPr>
        <w:drawing>
          <wp:inline distT="0" distB="0" distL="0" distR="0" wp14:anchorId="16FEFB24" wp14:editId="16FEFB25">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16FEF947" w14:textId="77777777" w:rsidR="004C026D" w:rsidRPr="004715B5" w:rsidRDefault="004C026D" w:rsidP="004C026D">
      <w:pPr>
        <w:jc w:val="center"/>
        <w:rPr>
          <w:rFonts w:ascii="Cambria" w:eastAsia="Calibri" w:hAnsi="Cambria"/>
          <w:color w:val="136C73"/>
          <w:sz w:val="28"/>
          <w:szCs w:val="28"/>
          <w:lang w:eastAsia="lt-LT"/>
        </w:rPr>
      </w:pPr>
      <w:r>
        <w:rPr>
          <w:rFonts w:ascii="Cambria" w:eastAsia="Calibri" w:hAnsi="Cambria"/>
          <w:color w:val="136C73"/>
          <w:sz w:val="28"/>
          <w:szCs w:val="28"/>
          <w:lang w:eastAsia="lt-LT"/>
        </w:rPr>
        <w:t>CENTRE FOR QUALITY ASSESSMENT IN HIGHER EDUCATION</w:t>
      </w:r>
    </w:p>
    <w:p w14:paraId="16FEF948" w14:textId="77777777" w:rsidR="004C026D" w:rsidRPr="004715B5" w:rsidRDefault="004C026D" w:rsidP="004C026D">
      <w:pPr>
        <w:rPr>
          <w:rFonts w:ascii="Cambria" w:eastAsia="Calibri" w:hAnsi="Cambria"/>
          <w:color w:val="136C73"/>
          <w:lang w:eastAsia="lt-LT"/>
        </w:rPr>
      </w:pPr>
    </w:p>
    <w:p w14:paraId="16FEF949" w14:textId="77777777" w:rsidR="004C026D" w:rsidRPr="00655C0A" w:rsidRDefault="004C026D" w:rsidP="004C026D">
      <w:pPr>
        <w:jc w:val="center"/>
        <w:rPr>
          <w:rFonts w:ascii="Cambria" w:eastAsia="Calibri" w:hAnsi="Cambria"/>
          <w:color w:val="136C73"/>
          <w:sz w:val="28"/>
          <w:szCs w:val="28"/>
          <w:lang w:eastAsia="lt-LT"/>
        </w:rPr>
      </w:pPr>
      <w:r w:rsidRPr="00655C0A">
        <w:rPr>
          <w:rFonts w:ascii="Cambria" w:eastAsia="Calibri" w:hAnsi="Cambria"/>
          <w:color w:val="136C73"/>
          <w:sz w:val="28"/>
          <w:szCs w:val="28"/>
          <w:lang w:eastAsia="lt-LT"/>
        </w:rPr>
        <w:t>––––––––––––––––––––––––––––––</w:t>
      </w:r>
    </w:p>
    <w:p w14:paraId="16FEF94A" w14:textId="77777777" w:rsidR="004C026D" w:rsidRPr="00655C0A" w:rsidRDefault="004C026D" w:rsidP="004C026D">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EVALUATION REPORT</w:t>
      </w:r>
    </w:p>
    <w:p w14:paraId="16FEF94B" w14:textId="77777777" w:rsidR="004C026D" w:rsidRDefault="004C026D" w:rsidP="004C026D">
      <w:pPr>
        <w:jc w:val="center"/>
        <w:rPr>
          <w:rFonts w:ascii="Cambria" w:eastAsia="Calibri" w:hAnsi="Cambria"/>
          <w:b/>
          <w:color w:val="136C73"/>
          <w:sz w:val="28"/>
          <w:szCs w:val="28"/>
          <w:lang w:eastAsia="lt-LT"/>
        </w:rPr>
      </w:pPr>
      <w:r w:rsidRPr="00655C0A">
        <w:rPr>
          <w:rFonts w:ascii="Cambria" w:eastAsia="Calibri" w:hAnsi="Cambria"/>
          <w:b/>
          <w:color w:val="136C73"/>
          <w:sz w:val="28"/>
          <w:szCs w:val="28"/>
          <w:lang w:eastAsia="lt-LT"/>
        </w:rPr>
        <w:t xml:space="preserve">STUDY FIELD </w:t>
      </w:r>
    </w:p>
    <w:p w14:paraId="16FEF94C" w14:textId="77777777" w:rsidR="004C026D" w:rsidRPr="00655C0A" w:rsidRDefault="006C54F0" w:rsidP="004C026D">
      <w:pPr>
        <w:jc w:val="center"/>
        <w:rPr>
          <w:rFonts w:ascii="Cambria" w:eastAsia="Calibri" w:hAnsi="Cambria"/>
          <w:color w:val="136C73"/>
          <w:sz w:val="28"/>
          <w:szCs w:val="28"/>
          <w:lang w:eastAsia="lt-LT"/>
        </w:rPr>
      </w:pPr>
      <w:r>
        <w:rPr>
          <w:rFonts w:ascii="Cambria" w:eastAsia="Calibri" w:hAnsi="Cambria"/>
          <w:b/>
          <w:color w:val="136C73"/>
          <w:sz w:val="28"/>
          <w:szCs w:val="28"/>
          <w:lang w:eastAsia="lt-LT"/>
        </w:rPr>
        <w:t>ENERGY</w:t>
      </w:r>
      <w:r w:rsidR="004C026D">
        <w:rPr>
          <w:rFonts w:ascii="Cambria" w:eastAsia="Calibri" w:hAnsi="Cambria"/>
          <w:b/>
          <w:color w:val="136C73"/>
          <w:sz w:val="28"/>
          <w:szCs w:val="28"/>
          <w:lang w:eastAsia="lt-LT"/>
        </w:rPr>
        <w:t xml:space="preserve"> ENGINEERING</w:t>
      </w:r>
    </w:p>
    <w:p w14:paraId="16FEF94D" w14:textId="77777777" w:rsidR="004C026D" w:rsidRPr="00655C0A" w:rsidRDefault="004C026D" w:rsidP="004C026D">
      <w:pPr>
        <w:jc w:val="center"/>
        <w:rPr>
          <w:rFonts w:ascii="Cambria" w:eastAsia="Calibri" w:hAnsi="Cambria"/>
          <w:color w:val="136C73"/>
          <w:sz w:val="28"/>
          <w:szCs w:val="28"/>
          <w:lang w:eastAsia="lt-LT"/>
        </w:rPr>
      </w:pPr>
      <w:proofErr w:type="gramStart"/>
      <w:r w:rsidRPr="00655C0A">
        <w:rPr>
          <w:rFonts w:ascii="Cambria" w:eastAsia="Calibri" w:hAnsi="Cambria"/>
          <w:color w:val="136C73"/>
          <w:sz w:val="28"/>
          <w:szCs w:val="28"/>
          <w:lang w:eastAsia="lt-LT"/>
        </w:rPr>
        <w:t>at</w:t>
      </w:r>
      <w:proofErr w:type="gramEnd"/>
      <w:r w:rsidRPr="00655C0A">
        <w:rPr>
          <w:rFonts w:ascii="Cambria" w:eastAsia="Calibri" w:hAnsi="Cambria"/>
          <w:color w:val="136C73"/>
          <w:sz w:val="28"/>
          <w:szCs w:val="28"/>
          <w:lang w:eastAsia="lt-LT"/>
        </w:rPr>
        <w:t xml:space="preserve"> </w:t>
      </w:r>
      <w:r w:rsidR="00447A90">
        <w:rPr>
          <w:rFonts w:ascii="Cambria" w:eastAsia="Calibri" w:hAnsi="Cambria"/>
          <w:color w:val="136C73"/>
          <w:sz w:val="28"/>
          <w:szCs w:val="28"/>
          <w:lang w:eastAsia="lt-LT"/>
        </w:rPr>
        <w:t>VILNIUS GEDIMINAS TECHNICAL UNIVERSITY</w:t>
      </w:r>
    </w:p>
    <w:p w14:paraId="16FEF94E" w14:textId="77777777" w:rsidR="004C026D" w:rsidRPr="004715B5" w:rsidRDefault="004C026D" w:rsidP="004C026D">
      <w:pPr>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4C026D" w:rsidRPr="004715B5" w14:paraId="16FEF957" w14:textId="77777777" w:rsidTr="003E41FC">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16FEF94F" w14:textId="77777777" w:rsidR="006C54F0" w:rsidRDefault="006C54F0" w:rsidP="006C54F0">
            <w:pPr>
              <w:tabs>
                <w:tab w:val="left" w:pos="0"/>
              </w:tabs>
              <w:rPr>
                <w:rFonts w:ascii="Cambria" w:eastAsia="Cambria" w:hAnsi="Cambria" w:cs="Cambria"/>
                <w:b/>
                <w:color w:val="FFFFFF"/>
              </w:rPr>
            </w:pPr>
            <w:r>
              <w:rPr>
                <w:rFonts w:ascii="Cambria" w:eastAsia="Cambria" w:hAnsi="Cambria" w:cs="Cambria"/>
                <w:b/>
                <w:color w:val="FFFFFF"/>
              </w:rPr>
              <w:t>Expert  panel:</w:t>
            </w:r>
          </w:p>
          <w:p w14:paraId="16FEF950" w14:textId="77777777" w:rsidR="006C54F0" w:rsidRDefault="006C54F0" w:rsidP="006C54F0">
            <w:pPr>
              <w:numPr>
                <w:ilvl w:val="0"/>
                <w:numId w:val="4"/>
              </w:numPr>
              <w:tabs>
                <w:tab w:val="left" w:pos="0"/>
              </w:tabs>
              <w:spacing w:line="360" w:lineRule="auto"/>
              <w:ind w:left="729" w:hanging="425"/>
              <w:rPr>
                <w:rFonts w:ascii="Cambria" w:eastAsia="Cambria" w:hAnsi="Cambria" w:cs="Cambria"/>
                <w:b/>
                <w:color w:val="FFFFFF"/>
              </w:rPr>
            </w:pPr>
            <w:proofErr w:type="spellStart"/>
            <w:r>
              <w:rPr>
                <w:rFonts w:ascii="Cambria" w:eastAsia="Cambria" w:hAnsi="Cambria" w:cs="Cambria"/>
                <w:b/>
                <w:color w:val="FFFFFF"/>
              </w:rPr>
              <w:t>Prof.</w:t>
            </w:r>
            <w:proofErr w:type="spellEnd"/>
            <w:r>
              <w:rPr>
                <w:rFonts w:ascii="Cambria" w:eastAsia="Cambria" w:hAnsi="Cambria" w:cs="Cambria"/>
                <w:b/>
                <w:color w:val="FFFFFF"/>
              </w:rPr>
              <w:t xml:space="preserve"> Abdulnaser Sayma (panel chairperson), </w:t>
            </w:r>
            <w:r>
              <w:rPr>
                <w:rFonts w:ascii="Cambria" w:eastAsia="Cambria" w:hAnsi="Cambria" w:cs="Cambria"/>
                <w:color w:val="FFFFFF"/>
              </w:rPr>
              <w:t>academic</w:t>
            </w:r>
            <w:r>
              <w:rPr>
                <w:rFonts w:ascii="Cambria" w:eastAsia="Cambria" w:hAnsi="Cambria" w:cs="Cambria"/>
                <w:i/>
                <w:color w:val="FFFFFF"/>
              </w:rPr>
              <w:t>;</w:t>
            </w:r>
          </w:p>
          <w:p w14:paraId="16FEF951" w14:textId="77777777" w:rsidR="006C54F0" w:rsidRDefault="006C54F0" w:rsidP="006C54F0">
            <w:pPr>
              <w:numPr>
                <w:ilvl w:val="0"/>
                <w:numId w:val="4"/>
              </w:numPr>
              <w:tabs>
                <w:tab w:val="left" w:pos="0"/>
              </w:tabs>
              <w:spacing w:line="360" w:lineRule="auto"/>
              <w:ind w:left="729" w:hanging="425"/>
              <w:rPr>
                <w:rFonts w:ascii="Cambria" w:eastAsia="Cambria" w:hAnsi="Cambria" w:cs="Cambria"/>
                <w:b/>
                <w:color w:val="FFFFFF"/>
              </w:rPr>
            </w:pPr>
            <w:proofErr w:type="spellStart"/>
            <w:r w:rsidRPr="006F5022">
              <w:rPr>
                <w:rFonts w:ascii="Cambria" w:eastAsia="Cambria" w:hAnsi="Cambria" w:cs="Cambria"/>
                <w:b/>
                <w:color w:val="FFFFFF"/>
              </w:rPr>
              <w:t>Prof.</w:t>
            </w:r>
            <w:proofErr w:type="spellEnd"/>
            <w:r w:rsidRPr="006F5022">
              <w:rPr>
                <w:rFonts w:ascii="Cambria" w:eastAsia="Cambria" w:hAnsi="Cambria" w:cs="Cambria"/>
                <w:b/>
                <w:color w:val="FFFFFF"/>
              </w:rPr>
              <w:t xml:space="preserve"> </w:t>
            </w:r>
            <w:proofErr w:type="spellStart"/>
            <w:r w:rsidRPr="006F5022">
              <w:rPr>
                <w:rFonts w:ascii="Cambria" w:eastAsia="Cambria" w:hAnsi="Cambria" w:cs="Cambria"/>
                <w:b/>
                <w:color w:val="FFFFFF"/>
              </w:rPr>
              <w:t>Dr.</w:t>
            </w:r>
            <w:proofErr w:type="spellEnd"/>
            <w:r w:rsidRPr="006F5022">
              <w:rPr>
                <w:rFonts w:ascii="Cambria" w:eastAsia="Cambria" w:hAnsi="Cambria" w:cs="Cambria"/>
                <w:b/>
                <w:color w:val="FFFFFF"/>
              </w:rPr>
              <w:t xml:space="preserve"> Luisa Fernanda </w:t>
            </w:r>
            <w:proofErr w:type="spellStart"/>
            <w:r w:rsidRPr="006F5022">
              <w:rPr>
                <w:rFonts w:ascii="Cambria" w:eastAsia="Cambria" w:hAnsi="Cambria" w:cs="Cambria"/>
                <w:b/>
                <w:color w:val="FFFFFF"/>
              </w:rPr>
              <w:t>Cabeza</w:t>
            </w:r>
            <w:proofErr w:type="spellEnd"/>
            <w:r w:rsidRPr="006F5022">
              <w:rPr>
                <w:rFonts w:ascii="Cambria" w:eastAsia="Cambria" w:hAnsi="Cambria" w:cs="Cambria"/>
                <w:b/>
                <w:color w:val="FFFFFF"/>
              </w:rPr>
              <w:t xml:space="preserve"> </w:t>
            </w:r>
            <w:proofErr w:type="spellStart"/>
            <w:r w:rsidRPr="006F5022">
              <w:rPr>
                <w:rFonts w:ascii="Cambria" w:eastAsia="Cambria" w:hAnsi="Cambria" w:cs="Cambria"/>
                <w:b/>
                <w:color w:val="FFFFFF"/>
              </w:rPr>
              <w:t>Fabra</w:t>
            </w:r>
            <w:proofErr w:type="spellEnd"/>
            <w:r>
              <w:rPr>
                <w:rFonts w:ascii="Cambria" w:eastAsia="Cambria" w:hAnsi="Cambria" w:cs="Cambria"/>
                <w:b/>
                <w:color w:val="FFFFFF"/>
              </w:rPr>
              <w:t xml:space="preserve"> ,</w:t>
            </w:r>
            <w:r>
              <w:rPr>
                <w:rFonts w:ascii="Cambria" w:eastAsia="Cambria" w:hAnsi="Cambria" w:cs="Cambria"/>
                <w:i/>
                <w:color w:val="FFFFFF"/>
              </w:rPr>
              <w:t xml:space="preserve"> academic;</w:t>
            </w:r>
          </w:p>
          <w:p w14:paraId="16FEF952" w14:textId="0C12DC67" w:rsidR="006C54F0" w:rsidRDefault="006C54F0" w:rsidP="006C54F0">
            <w:pPr>
              <w:numPr>
                <w:ilvl w:val="0"/>
                <w:numId w:val="4"/>
              </w:numPr>
              <w:tabs>
                <w:tab w:val="left" w:pos="0"/>
              </w:tabs>
              <w:spacing w:line="360" w:lineRule="auto"/>
              <w:ind w:left="729" w:hanging="425"/>
              <w:rPr>
                <w:rFonts w:ascii="Cambria" w:eastAsia="Cambria" w:hAnsi="Cambria" w:cs="Cambria"/>
                <w:b/>
                <w:color w:val="FFFFFF"/>
              </w:rPr>
            </w:pPr>
            <w:proofErr w:type="spellStart"/>
            <w:r w:rsidRPr="006F5022">
              <w:rPr>
                <w:rFonts w:ascii="Cambria" w:eastAsia="Cambria" w:hAnsi="Cambria" w:cs="Cambria"/>
                <w:b/>
                <w:color w:val="FFFFFF"/>
              </w:rPr>
              <w:t>Prof.</w:t>
            </w:r>
            <w:proofErr w:type="spellEnd"/>
            <w:r w:rsidRPr="006F5022">
              <w:rPr>
                <w:rFonts w:ascii="Cambria" w:eastAsia="Cambria" w:hAnsi="Cambria" w:cs="Cambria"/>
                <w:b/>
                <w:color w:val="FFFFFF"/>
              </w:rPr>
              <w:t xml:space="preserve"> </w:t>
            </w:r>
            <w:proofErr w:type="spellStart"/>
            <w:r w:rsidRPr="006F5022">
              <w:rPr>
                <w:rFonts w:ascii="Cambria" w:eastAsia="Cambria" w:hAnsi="Cambria" w:cs="Cambria"/>
                <w:b/>
                <w:color w:val="FFFFFF"/>
              </w:rPr>
              <w:t>Dr.</w:t>
            </w:r>
            <w:proofErr w:type="spellEnd"/>
            <w:r w:rsidRPr="006F5022">
              <w:rPr>
                <w:rFonts w:ascii="Cambria" w:eastAsia="Cambria" w:hAnsi="Cambria" w:cs="Cambria"/>
                <w:b/>
                <w:color w:val="FFFFFF"/>
              </w:rPr>
              <w:t xml:space="preserve"> </w:t>
            </w:r>
            <w:proofErr w:type="spellStart"/>
            <w:r w:rsidRPr="006F5022">
              <w:rPr>
                <w:rFonts w:ascii="Cambria" w:eastAsia="Cambria" w:hAnsi="Cambria" w:cs="Cambria"/>
                <w:b/>
                <w:color w:val="FFFFFF"/>
              </w:rPr>
              <w:t>Eleonora</w:t>
            </w:r>
            <w:proofErr w:type="spellEnd"/>
            <w:r w:rsidRPr="006F5022">
              <w:rPr>
                <w:rFonts w:ascii="Cambria" w:eastAsia="Cambria" w:hAnsi="Cambria" w:cs="Cambria"/>
                <w:b/>
                <w:color w:val="FFFFFF"/>
              </w:rPr>
              <w:t xml:space="preserve"> </w:t>
            </w:r>
            <w:proofErr w:type="spellStart"/>
            <w:r w:rsidRPr="006F5022">
              <w:rPr>
                <w:rFonts w:ascii="Cambria" w:eastAsia="Cambria" w:hAnsi="Cambria" w:cs="Cambria"/>
                <w:b/>
                <w:color w:val="FFFFFF"/>
              </w:rPr>
              <w:t>Guseinovienė</w:t>
            </w:r>
            <w:proofErr w:type="spellEnd"/>
            <w:r>
              <w:rPr>
                <w:rFonts w:ascii="Cambria" w:eastAsia="Cambria" w:hAnsi="Cambria" w:cs="Cambria"/>
                <w:b/>
                <w:color w:val="FFFFFF"/>
              </w:rPr>
              <w:t>,</w:t>
            </w:r>
            <w:r>
              <w:rPr>
                <w:rFonts w:ascii="Cambria" w:eastAsia="Cambria" w:hAnsi="Cambria" w:cs="Cambria"/>
                <w:i/>
                <w:color w:val="FFFFFF"/>
              </w:rPr>
              <w:t xml:space="preserve"> academic;</w:t>
            </w:r>
          </w:p>
          <w:p w14:paraId="16FEF953" w14:textId="4A9E1CAE" w:rsidR="006C54F0" w:rsidRDefault="006C54F0" w:rsidP="006C54F0">
            <w:pPr>
              <w:numPr>
                <w:ilvl w:val="0"/>
                <w:numId w:val="4"/>
              </w:numPr>
              <w:tabs>
                <w:tab w:val="left" w:pos="0"/>
              </w:tabs>
              <w:spacing w:line="360" w:lineRule="auto"/>
              <w:ind w:left="729" w:hanging="425"/>
              <w:rPr>
                <w:rFonts w:ascii="Cambria" w:eastAsia="Cambria" w:hAnsi="Cambria" w:cs="Cambria"/>
                <w:b/>
                <w:color w:val="FFFFFF"/>
              </w:rPr>
            </w:pPr>
            <w:r w:rsidRPr="006F5022">
              <w:rPr>
                <w:rFonts w:ascii="Cambria" w:eastAsia="Cambria" w:hAnsi="Cambria" w:cs="Cambria"/>
                <w:b/>
                <w:color w:val="FFFFFF"/>
              </w:rPr>
              <w:t>Mr. Mindaugas Pranaitis</w:t>
            </w:r>
            <w:r>
              <w:rPr>
                <w:rFonts w:ascii="Cambria" w:eastAsia="Cambria" w:hAnsi="Cambria" w:cs="Cambria"/>
                <w:b/>
                <w:color w:val="FFFFFF"/>
              </w:rPr>
              <w:t xml:space="preserve">, </w:t>
            </w:r>
            <w:r>
              <w:rPr>
                <w:rFonts w:ascii="Cambria" w:eastAsia="Cambria" w:hAnsi="Cambria" w:cs="Cambria"/>
                <w:i/>
                <w:color w:val="FFFFFF"/>
              </w:rPr>
              <w:t xml:space="preserve">representative of social partners; </w:t>
            </w:r>
          </w:p>
          <w:p w14:paraId="16FEF954" w14:textId="77777777" w:rsidR="006C54F0" w:rsidRDefault="006C54F0" w:rsidP="006C54F0">
            <w:pPr>
              <w:numPr>
                <w:ilvl w:val="0"/>
                <w:numId w:val="4"/>
              </w:numPr>
              <w:tabs>
                <w:tab w:val="left" w:pos="0"/>
              </w:tabs>
              <w:spacing w:line="360" w:lineRule="auto"/>
              <w:ind w:left="729" w:hanging="425"/>
              <w:rPr>
                <w:rFonts w:ascii="Cambria" w:eastAsia="Cambria" w:hAnsi="Cambria" w:cs="Cambria"/>
                <w:b/>
                <w:color w:val="FFFFFF"/>
              </w:rPr>
            </w:pPr>
            <w:r w:rsidRPr="006F5022">
              <w:rPr>
                <w:rFonts w:ascii="Cambria" w:eastAsia="Cambria" w:hAnsi="Cambria" w:cs="Cambria"/>
                <w:b/>
                <w:color w:val="FFFFFF"/>
              </w:rPr>
              <w:t>Mr. Henrikas Vaickus</w:t>
            </w:r>
            <w:r>
              <w:rPr>
                <w:rFonts w:ascii="Cambria" w:eastAsia="Cambria" w:hAnsi="Cambria" w:cs="Cambria"/>
                <w:b/>
                <w:color w:val="FFFFFF"/>
              </w:rPr>
              <w:t xml:space="preserve">, </w:t>
            </w:r>
            <w:r>
              <w:rPr>
                <w:rFonts w:ascii="Cambria" w:eastAsia="Cambria" w:hAnsi="Cambria" w:cs="Cambria"/>
                <w:i/>
                <w:color w:val="FFFFFF"/>
              </w:rPr>
              <w:t>students’ representative</w:t>
            </w:r>
            <w:r>
              <w:rPr>
                <w:rFonts w:ascii="Cambria" w:eastAsia="Cambria" w:hAnsi="Cambria" w:cs="Cambria"/>
                <w:color w:val="FFFFFF"/>
              </w:rPr>
              <w:t>.</w:t>
            </w:r>
          </w:p>
          <w:p w14:paraId="16FEF955" w14:textId="77777777" w:rsidR="006C54F0" w:rsidRDefault="006C54F0" w:rsidP="006C54F0">
            <w:pPr>
              <w:tabs>
                <w:tab w:val="left" w:pos="0"/>
              </w:tabs>
              <w:rPr>
                <w:rFonts w:ascii="Cambria" w:eastAsia="Cambria" w:hAnsi="Cambria" w:cs="Cambria"/>
                <w:b/>
                <w:color w:val="FFFFFF"/>
              </w:rPr>
            </w:pPr>
          </w:p>
          <w:p w14:paraId="16FEF956" w14:textId="2EBF2112" w:rsidR="004C026D" w:rsidRPr="004715B5" w:rsidRDefault="006C54F0" w:rsidP="00216A9E">
            <w:pPr>
              <w:tabs>
                <w:tab w:val="left" w:pos="0"/>
              </w:tabs>
              <w:spacing w:line="360" w:lineRule="auto"/>
              <w:rPr>
                <w:rFonts w:ascii="Cambria" w:eastAsia="Calibri" w:hAnsi="Cambria"/>
                <w:b/>
                <w:i/>
                <w:color w:val="571C1F"/>
                <w:lang w:eastAsia="lt-LT"/>
              </w:rPr>
            </w:pPr>
            <w:r>
              <w:rPr>
                <w:rFonts w:ascii="Cambria" w:eastAsia="Cambria" w:hAnsi="Cambria" w:cs="Cambria"/>
                <w:b/>
                <w:color w:val="FFFFFF"/>
              </w:rPr>
              <w:t xml:space="preserve">Evaluation coordinator – </w:t>
            </w:r>
            <w:r w:rsidRPr="006F5022">
              <w:rPr>
                <w:rFonts w:ascii="Cambria" w:eastAsia="Cambria" w:hAnsi="Cambria" w:cs="Cambria"/>
                <w:b/>
                <w:i/>
                <w:color w:val="FFFFFF"/>
              </w:rPr>
              <w:t>Ms Ona Charževskytė</w:t>
            </w:r>
          </w:p>
        </w:tc>
      </w:tr>
    </w:tbl>
    <w:p w14:paraId="16FEF958" w14:textId="77777777" w:rsidR="004C026D" w:rsidRDefault="004C026D" w:rsidP="004C026D">
      <w:pPr>
        <w:pStyle w:val="NoSpacing"/>
        <w:rPr>
          <w:rFonts w:ascii="Cambria" w:hAnsi="Cambria"/>
          <w:color w:val="136C73"/>
          <w:szCs w:val="24"/>
          <w:lang w:val="en-GB" w:eastAsia="lt-LT"/>
        </w:rPr>
      </w:pPr>
    </w:p>
    <w:p w14:paraId="16FEF959" w14:textId="77777777" w:rsidR="004C026D" w:rsidRDefault="004C026D" w:rsidP="004C026D">
      <w:pPr>
        <w:pStyle w:val="NoSpacing"/>
        <w:rPr>
          <w:rFonts w:ascii="Cambria" w:hAnsi="Cambria"/>
          <w:color w:val="136C73"/>
          <w:szCs w:val="24"/>
          <w:lang w:val="en-GB" w:eastAsia="lt-LT"/>
        </w:rPr>
      </w:pPr>
    </w:p>
    <w:p w14:paraId="16FEF95A" w14:textId="77777777" w:rsidR="004C026D" w:rsidRDefault="004C026D" w:rsidP="004C026D">
      <w:pPr>
        <w:pStyle w:val="NoSpacing"/>
        <w:rPr>
          <w:rFonts w:ascii="Cambria" w:hAnsi="Cambria"/>
          <w:color w:val="136C73"/>
          <w:szCs w:val="24"/>
          <w:lang w:val="en-GB" w:eastAsia="lt-LT"/>
        </w:rPr>
      </w:pPr>
    </w:p>
    <w:p w14:paraId="16FEF95B" w14:textId="77777777" w:rsidR="004C026D" w:rsidRDefault="004C026D" w:rsidP="004C026D">
      <w:pPr>
        <w:pStyle w:val="NoSpacing"/>
        <w:rPr>
          <w:rFonts w:ascii="Cambria" w:hAnsi="Cambria"/>
          <w:color w:val="136C73"/>
          <w:szCs w:val="24"/>
          <w:lang w:val="en-GB" w:eastAsia="lt-LT"/>
        </w:rPr>
      </w:pPr>
    </w:p>
    <w:p w14:paraId="16FEF95C" w14:textId="77777777" w:rsidR="004C026D" w:rsidRDefault="004C026D" w:rsidP="004C026D">
      <w:pPr>
        <w:pStyle w:val="NoSpacing"/>
        <w:rPr>
          <w:rFonts w:ascii="Cambria" w:hAnsi="Cambria"/>
          <w:color w:val="136C73"/>
          <w:szCs w:val="24"/>
          <w:lang w:val="en-GB" w:eastAsia="lt-LT"/>
        </w:rPr>
      </w:pPr>
    </w:p>
    <w:p w14:paraId="16FEF95D" w14:textId="77777777" w:rsidR="004C026D" w:rsidRDefault="004C026D" w:rsidP="004C026D">
      <w:pPr>
        <w:pStyle w:val="NoSpacing"/>
        <w:rPr>
          <w:rFonts w:ascii="Cambria" w:hAnsi="Cambria"/>
          <w:color w:val="136C73"/>
          <w:szCs w:val="24"/>
          <w:lang w:val="en-GB" w:eastAsia="lt-LT"/>
        </w:rPr>
      </w:pPr>
    </w:p>
    <w:p w14:paraId="16FEF95E" w14:textId="77777777" w:rsidR="004C026D" w:rsidRDefault="004C026D" w:rsidP="004C026D">
      <w:pPr>
        <w:pStyle w:val="NoSpacing"/>
        <w:rPr>
          <w:rFonts w:ascii="Cambria" w:hAnsi="Cambria"/>
          <w:color w:val="136C73"/>
          <w:szCs w:val="24"/>
          <w:lang w:val="en-GB" w:eastAsia="lt-LT"/>
        </w:rPr>
      </w:pPr>
    </w:p>
    <w:p w14:paraId="16FEF95F" w14:textId="77777777" w:rsidR="004C026D" w:rsidRDefault="004C026D" w:rsidP="004C026D">
      <w:pPr>
        <w:pStyle w:val="NoSpacing"/>
        <w:rPr>
          <w:rFonts w:ascii="Cambria" w:hAnsi="Cambria"/>
          <w:color w:val="136C73"/>
          <w:szCs w:val="24"/>
          <w:lang w:val="en-GB" w:eastAsia="lt-LT"/>
        </w:rPr>
      </w:pPr>
    </w:p>
    <w:p w14:paraId="16FEF960" w14:textId="77777777" w:rsidR="004C026D" w:rsidRDefault="004C026D" w:rsidP="004C026D">
      <w:pPr>
        <w:pStyle w:val="NoSpacing"/>
        <w:rPr>
          <w:rFonts w:ascii="Cambria" w:hAnsi="Cambria"/>
          <w:color w:val="136C73"/>
          <w:szCs w:val="24"/>
          <w:lang w:val="en-GB" w:eastAsia="lt-LT"/>
        </w:rPr>
      </w:pPr>
    </w:p>
    <w:p w14:paraId="16FEF961" w14:textId="77777777" w:rsidR="004C026D" w:rsidRDefault="004C026D" w:rsidP="004C026D">
      <w:pPr>
        <w:pStyle w:val="NoSpacing"/>
        <w:rPr>
          <w:rFonts w:ascii="Cambria" w:hAnsi="Cambria"/>
          <w:color w:val="136C73"/>
          <w:szCs w:val="24"/>
          <w:lang w:val="en-GB" w:eastAsia="lt-LT"/>
        </w:rPr>
      </w:pPr>
    </w:p>
    <w:p w14:paraId="16FEF962" w14:textId="77777777" w:rsidR="004C026D" w:rsidRPr="00020165" w:rsidRDefault="004C026D" w:rsidP="004C026D">
      <w:pPr>
        <w:pStyle w:val="NoSpacing"/>
        <w:rPr>
          <w:rFonts w:ascii="Cambria" w:hAnsi="Cambria"/>
          <w:color w:val="136C73"/>
          <w:szCs w:val="24"/>
          <w:lang w:val="en-GB" w:eastAsia="lt-LT"/>
        </w:rPr>
      </w:pPr>
      <w:r w:rsidRPr="00020165">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4C026D" w:rsidRPr="00020165" w14:paraId="16FEF965" w14:textId="77777777" w:rsidTr="003E41FC">
        <w:tc>
          <w:tcPr>
            <w:tcW w:w="460" w:type="dxa"/>
            <w:shd w:val="clear" w:color="auto" w:fill="auto"/>
            <w:vAlign w:val="center"/>
          </w:tcPr>
          <w:p w14:paraId="16FEF963" w14:textId="77777777" w:rsidR="004C026D" w:rsidRPr="00020165" w:rsidRDefault="004C026D" w:rsidP="003E41FC">
            <w:pPr>
              <w:pStyle w:val="NoSpacing"/>
              <w:rPr>
                <w:rFonts w:ascii="Cambria" w:hAnsi="Cambria"/>
                <w:color w:val="136C73"/>
                <w:szCs w:val="24"/>
                <w:lang w:val="en-GB" w:eastAsia="lt-LT"/>
              </w:rPr>
            </w:pPr>
            <w:r w:rsidRPr="00020165">
              <w:rPr>
                <w:rFonts w:ascii="Cambria" w:hAnsi="Cambria"/>
                <w:color w:val="136C73"/>
                <w:szCs w:val="24"/>
                <w:lang w:val="en-GB" w:eastAsia="lt-LT"/>
              </w:rPr>
              <w:t>©</w:t>
            </w:r>
          </w:p>
        </w:tc>
        <w:tc>
          <w:tcPr>
            <w:tcW w:w="6848" w:type="dxa"/>
            <w:shd w:val="clear" w:color="auto" w:fill="auto"/>
          </w:tcPr>
          <w:p w14:paraId="16FEF964" w14:textId="77777777" w:rsidR="004C026D" w:rsidRPr="00020165" w:rsidRDefault="004C026D" w:rsidP="003E41FC">
            <w:pPr>
              <w:pStyle w:val="NoSpacing"/>
              <w:rPr>
                <w:rFonts w:ascii="Cambria" w:hAnsi="Cambria"/>
                <w:color w:val="136C73"/>
                <w:szCs w:val="24"/>
                <w:lang w:val="en-GB" w:eastAsia="lt-LT"/>
              </w:rPr>
            </w:pPr>
            <w:r w:rsidRPr="00020165">
              <w:rPr>
                <w:rFonts w:ascii="Cambria" w:hAnsi="Cambria"/>
                <w:color w:val="136C73"/>
                <w:szCs w:val="24"/>
                <w:lang w:val="en-GB" w:eastAsia="lt-LT"/>
              </w:rPr>
              <w:t>Centre for Quality Assessment in Higher Education</w:t>
            </w:r>
          </w:p>
        </w:tc>
      </w:tr>
    </w:tbl>
    <w:p w14:paraId="16FEF966" w14:textId="77777777" w:rsidR="004C026D" w:rsidRPr="00020165" w:rsidRDefault="004C026D" w:rsidP="004C026D">
      <w:pPr>
        <w:rPr>
          <w:rFonts w:ascii="Cambria" w:eastAsia="Calibri" w:hAnsi="Cambria"/>
          <w:color w:val="136C73"/>
          <w:sz w:val="28"/>
          <w:szCs w:val="28"/>
          <w:lang w:eastAsia="lt-LT"/>
        </w:rPr>
      </w:pPr>
    </w:p>
    <w:p w14:paraId="16FEF967" w14:textId="77777777" w:rsidR="004C026D" w:rsidRPr="006D1CFD" w:rsidRDefault="004C026D" w:rsidP="004C026D">
      <w:pPr>
        <w:pStyle w:val="Footer"/>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Vilnius</w:t>
      </w:r>
    </w:p>
    <w:p w14:paraId="16FEF968" w14:textId="77777777" w:rsidR="004C026D" w:rsidRDefault="004C026D" w:rsidP="004C026D">
      <w:pPr>
        <w:pStyle w:val="Footer"/>
        <w:jc w:val="center"/>
        <w:rPr>
          <w:rFonts w:ascii="Cambria" w:eastAsia="Calibri" w:hAnsi="Cambria" w:cs="Times New Roman"/>
          <w:color w:val="136C73"/>
          <w:sz w:val="24"/>
          <w:szCs w:val="24"/>
          <w:lang w:val="en-GB" w:eastAsia="lt-LT"/>
        </w:rPr>
      </w:pPr>
      <w:r w:rsidRPr="006D1CFD">
        <w:rPr>
          <w:rFonts w:ascii="Cambria" w:eastAsia="Calibri" w:hAnsi="Cambria" w:cs="Times New Roman"/>
          <w:color w:val="136C73"/>
          <w:sz w:val="24"/>
          <w:szCs w:val="24"/>
          <w:lang w:val="en-GB" w:eastAsia="lt-LT"/>
        </w:rPr>
        <w:t>2021</w:t>
      </w:r>
    </w:p>
    <w:p w14:paraId="16FEF969" w14:textId="77777777" w:rsidR="006C54F0" w:rsidRDefault="006C54F0" w:rsidP="004C026D">
      <w:pPr>
        <w:pStyle w:val="Footer"/>
        <w:jc w:val="center"/>
        <w:rPr>
          <w:rFonts w:ascii="Cambria" w:eastAsia="Calibri" w:hAnsi="Cambria" w:cs="Times New Roman"/>
          <w:color w:val="136C73"/>
          <w:sz w:val="24"/>
          <w:szCs w:val="24"/>
          <w:lang w:val="en-GB" w:eastAsia="lt-LT"/>
        </w:rPr>
      </w:pPr>
    </w:p>
    <w:p w14:paraId="16FEF96A" w14:textId="77777777" w:rsidR="006C54F0" w:rsidRDefault="006C54F0" w:rsidP="004C026D">
      <w:pPr>
        <w:pStyle w:val="Footer"/>
        <w:jc w:val="center"/>
        <w:rPr>
          <w:rFonts w:ascii="Cambria" w:eastAsia="Calibri" w:hAnsi="Cambria" w:cs="Times New Roman"/>
          <w:color w:val="136C73"/>
          <w:sz w:val="24"/>
          <w:szCs w:val="24"/>
          <w:lang w:val="en-GB" w:eastAsia="lt-LT"/>
        </w:rPr>
      </w:pPr>
    </w:p>
    <w:p w14:paraId="16FEF96B" w14:textId="77777777" w:rsidR="006C54F0" w:rsidRPr="006D1CFD" w:rsidRDefault="006C54F0" w:rsidP="004C026D">
      <w:pPr>
        <w:pStyle w:val="Footer"/>
        <w:jc w:val="center"/>
        <w:rPr>
          <w:rFonts w:ascii="Cambria" w:eastAsia="Calibri" w:hAnsi="Cambria" w:cs="Times New Roman"/>
          <w:color w:val="136C73"/>
          <w:sz w:val="24"/>
          <w:szCs w:val="24"/>
          <w:lang w:val="en-GB" w:eastAsia="lt-LT"/>
        </w:rPr>
      </w:pPr>
    </w:p>
    <w:p w14:paraId="16FEF96C" w14:textId="77777777" w:rsidR="004C026D" w:rsidRDefault="004C026D" w:rsidP="004C026D">
      <w:pPr>
        <w:jc w:val="center"/>
        <w:rPr>
          <w:rFonts w:asciiTheme="majorHAnsi" w:hAnsiTheme="majorHAnsi"/>
          <w:b/>
          <w:color w:val="136C73"/>
          <w:sz w:val="28"/>
          <w:lang w:eastAsia="en-GB"/>
        </w:rPr>
      </w:pPr>
      <w:r w:rsidRPr="00CA6F8D">
        <w:rPr>
          <w:rFonts w:asciiTheme="majorHAnsi" w:hAnsiTheme="majorHAnsi"/>
          <w:b/>
          <w:color w:val="136C73"/>
          <w:sz w:val="28"/>
          <w:lang w:eastAsia="en-GB"/>
        </w:rPr>
        <w:lastRenderedPageBreak/>
        <w:t xml:space="preserve">Study </w:t>
      </w:r>
      <w:r w:rsidR="006C54F0">
        <w:rPr>
          <w:rFonts w:asciiTheme="majorHAnsi" w:hAnsiTheme="majorHAnsi"/>
          <w:b/>
          <w:color w:val="136C73"/>
          <w:sz w:val="28"/>
          <w:lang w:eastAsia="en-GB"/>
        </w:rPr>
        <w:t>Field Data</w:t>
      </w:r>
    </w:p>
    <w:p w14:paraId="16FEF96D" w14:textId="77777777" w:rsidR="006C54F0" w:rsidRPr="00CA6F8D" w:rsidRDefault="006C54F0" w:rsidP="004C026D">
      <w:pPr>
        <w:jc w:val="center"/>
        <w:rPr>
          <w:rFonts w:asciiTheme="majorHAnsi" w:hAnsiTheme="majorHAnsi"/>
          <w:b/>
          <w:color w:val="136C73"/>
          <w:sz w:val="28"/>
          <w:lang w:eastAsia="en-GB"/>
        </w:rPr>
      </w:pPr>
    </w:p>
    <w:tbl>
      <w:tblPr>
        <w:tblW w:w="9950" w:type="dxa"/>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4"/>
        <w:gridCol w:w="3402"/>
        <w:gridCol w:w="3544"/>
      </w:tblGrid>
      <w:tr w:rsidR="00447A90" w:rsidRPr="006C54F0" w14:paraId="16FEF973" w14:textId="77777777" w:rsidTr="008D2C95">
        <w:trPr>
          <w:trHeight w:val="510"/>
        </w:trPr>
        <w:tc>
          <w:tcPr>
            <w:tcW w:w="3004" w:type="dxa"/>
            <w:shd w:val="clear" w:color="auto" w:fill="EEECE1"/>
            <w:vAlign w:val="center"/>
          </w:tcPr>
          <w:p w14:paraId="16FEF96E"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Title of the study programme</w:t>
            </w:r>
          </w:p>
        </w:tc>
        <w:tc>
          <w:tcPr>
            <w:tcW w:w="3402" w:type="dxa"/>
            <w:shd w:val="clear" w:color="auto" w:fill="FFFFFF"/>
            <w:vAlign w:val="center"/>
          </w:tcPr>
          <w:tbl>
            <w:tblPr>
              <w:tblW w:w="5000" w:type="pct"/>
              <w:tblBorders>
                <w:top w:val="nil"/>
                <w:left w:val="nil"/>
                <w:bottom w:val="nil"/>
                <w:right w:val="nil"/>
              </w:tblBorders>
              <w:tblLook w:val="0000" w:firstRow="0" w:lastRow="0" w:firstColumn="0" w:lastColumn="0" w:noHBand="0" w:noVBand="0"/>
            </w:tblPr>
            <w:tblGrid>
              <w:gridCol w:w="3186"/>
            </w:tblGrid>
            <w:tr w:rsidR="00447A90" w:rsidRPr="00447A90" w14:paraId="16FEF970" w14:textId="77777777" w:rsidTr="00447A90">
              <w:trPr>
                <w:trHeight w:val="100"/>
              </w:trPr>
              <w:tc>
                <w:tcPr>
                  <w:tcW w:w="5000" w:type="pct"/>
                </w:tcPr>
                <w:p w14:paraId="16FEF96F" w14:textId="77777777" w:rsidR="00447A90" w:rsidRPr="00447A90" w:rsidRDefault="00447A90" w:rsidP="00447A90">
                  <w:pPr>
                    <w:rPr>
                      <w:rFonts w:ascii="Cambria" w:eastAsia="Cambria" w:hAnsi="Cambria" w:cs="Cambria"/>
                      <w:b/>
                      <w:i/>
                      <w:lang w:val="lt-LT" w:eastAsia="en-GB"/>
                    </w:rPr>
                  </w:pPr>
                  <w:r w:rsidRPr="00447A90">
                    <w:rPr>
                      <w:rFonts w:ascii="Cambria" w:eastAsia="Cambria" w:hAnsi="Cambria" w:cs="Cambria"/>
                      <w:b/>
                      <w:i/>
                      <w:lang w:val="en-US" w:eastAsia="en-GB"/>
                    </w:rPr>
                    <w:t xml:space="preserve">Building Energetics </w:t>
                  </w:r>
                </w:p>
              </w:tc>
            </w:tr>
          </w:tbl>
          <w:p w14:paraId="16FEF971" w14:textId="77777777" w:rsidR="00447A90" w:rsidRPr="006C54F0" w:rsidRDefault="00447A90" w:rsidP="006C54F0">
            <w:pPr>
              <w:rPr>
                <w:rFonts w:ascii="Cambria" w:eastAsia="Cambria" w:hAnsi="Cambria" w:cs="Cambria"/>
                <w:b/>
                <w:i/>
                <w:lang w:eastAsia="en-GB"/>
              </w:rPr>
            </w:pPr>
          </w:p>
        </w:tc>
        <w:tc>
          <w:tcPr>
            <w:tcW w:w="3544" w:type="dxa"/>
            <w:shd w:val="clear" w:color="auto" w:fill="FFFFFF"/>
            <w:vAlign w:val="center"/>
          </w:tcPr>
          <w:p w14:paraId="16FEF972" w14:textId="77777777" w:rsidR="00447A90" w:rsidRPr="006C54F0" w:rsidRDefault="00447A90" w:rsidP="006C54F0">
            <w:pPr>
              <w:rPr>
                <w:rFonts w:ascii="Cambria" w:eastAsia="Cambria" w:hAnsi="Cambria" w:cs="Cambria"/>
                <w:b/>
                <w:i/>
                <w:lang w:eastAsia="en-GB"/>
              </w:rPr>
            </w:pPr>
            <w:r w:rsidRPr="00447A90">
              <w:rPr>
                <w:rFonts w:ascii="Cambria" w:eastAsia="Cambria" w:hAnsi="Cambria" w:cs="Cambria"/>
                <w:b/>
                <w:i/>
                <w:lang w:val="en-US" w:eastAsia="en-GB"/>
              </w:rPr>
              <w:t>Building Energy Engineering</w:t>
            </w:r>
          </w:p>
        </w:tc>
      </w:tr>
      <w:tr w:rsidR="00447A90" w:rsidRPr="006C54F0" w14:paraId="16FEF977" w14:textId="77777777" w:rsidTr="008D2C95">
        <w:trPr>
          <w:trHeight w:val="510"/>
        </w:trPr>
        <w:tc>
          <w:tcPr>
            <w:tcW w:w="3004" w:type="dxa"/>
            <w:shd w:val="clear" w:color="auto" w:fill="EEECE1"/>
            <w:vAlign w:val="center"/>
          </w:tcPr>
          <w:p w14:paraId="16FEF974"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State code</w:t>
            </w:r>
          </w:p>
        </w:tc>
        <w:tc>
          <w:tcPr>
            <w:tcW w:w="3402" w:type="dxa"/>
          </w:tcPr>
          <w:p w14:paraId="16FEF975" w14:textId="77777777" w:rsidR="00447A90" w:rsidRPr="006C54F0" w:rsidRDefault="00447A90" w:rsidP="006C54F0">
            <w:pPr>
              <w:rPr>
                <w:color w:val="000000"/>
                <w:sz w:val="22"/>
                <w:szCs w:val="22"/>
                <w:lang w:eastAsia="en-GB"/>
              </w:rPr>
            </w:pPr>
            <w:r w:rsidRPr="00447A90">
              <w:rPr>
                <w:color w:val="000000"/>
                <w:sz w:val="22"/>
                <w:szCs w:val="22"/>
                <w:lang w:val="en-US" w:eastAsia="en-GB"/>
              </w:rPr>
              <w:t>6121EX053</w:t>
            </w:r>
          </w:p>
        </w:tc>
        <w:tc>
          <w:tcPr>
            <w:tcW w:w="3544" w:type="dxa"/>
          </w:tcPr>
          <w:p w14:paraId="16FEF976" w14:textId="77777777" w:rsidR="00447A90" w:rsidRPr="006C54F0" w:rsidRDefault="00447A90" w:rsidP="006C54F0">
            <w:pPr>
              <w:rPr>
                <w:color w:val="000000"/>
                <w:sz w:val="22"/>
                <w:szCs w:val="22"/>
                <w:lang w:val="en-US" w:eastAsia="en-GB"/>
              </w:rPr>
            </w:pPr>
            <w:r w:rsidRPr="00447A90">
              <w:rPr>
                <w:color w:val="000000"/>
                <w:sz w:val="22"/>
                <w:szCs w:val="22"/>
                <w:lang w:val="en-US" w:eastAsia="en-GB"/>
              </w:rPr>
              <w:t>6211EX059</w:t>
            </w:r>
          </w:p>
        </w:tc>
      </w:tr>
      <w:tr w:rsidR="00447A90" w:rsidRPr="006C54F0" w14:paraId="16FEF97B" w14:textId="77777777" w:rsidTr="008D2C95">
        <w:trPr>
          <w:trHeight w:val="510"/>
        </w:trPr>
        <w:tc>
          <w:tcPr>
            <w:tcW w:w="3004" w:type="dxa"/>
            <w:shd w:val="clear" w:color="auto" w:fill="EEECE1"/>
            <w:vAlign w:val="center"/>
          </w:tcPr>
          <w:p w14:paraId="16FEF978"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Type of studies</w:t>
            </w:r>
          </w:p>
        </w:tc>
        <w:tc>
          <w:tcPr>
            <w:tcW w:w="3402" w:type="dxa"/>
          </w:tcPr>
          <w:p w14:paraId="16FEF979"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Univer</w:t>
            </w:r>
            <w:r>
              <w:rPr>
                <w:rFonts w:ascii="Cambria" w:eastAsia="Cambria" w:hAnsi="Cambria" w:cs="Cambria"/>
                <w:lang w:val="en-US" w:eastAsia="en-GB"/>
              </w:rPr>
              <w:t>sity studies</w:t>
            </w:r>
          </w:p>
        </w:tc>
        <w:tc>
          <w:tcPr>
            <w:tcW w:w="3544" w:type="dxa"/>
          </w:tcPr>
          <w:p w14:paraId="16FEF97A"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University studies in higher education</w:t>
            </w:r>
          </w:p>
        </w:tc>
      </w:tr>
      <w:tr w:rsidR="00447A90" w:rsidRPr="006C54F0" w14:paraId="16FEF97F" w14:textId="77777777" w:rsidTr="008D2C95">
        <w:trPr>
          <w:trHeight w:val="510"/>
        </w:trPr>
        <w:tc>
          <w:tcPr>
            <w:tcW w:w="3004" w:type="dxa"/>
            <w:shd w:val="clear" w:color="auto" w:fill="EEECE1"/>
            <w:vAlign w:val="center"/>
          </w:tcPr>
          <w:p w14:paraId="16FEF97C"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Cycle of studies</w:t>
            </w:r>
          </w:p>
        </w:tc>
        <w:tc>
          <w:tcPr>
            <w:tcW w:w="3402" w:type="dxa"/>
          </w:tcPr>
          <w:p w14:paraId="16FEF97D"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First cycle</w:t>
            </w:r>
          </w:p>
        </w:tc>
        <w:tc>
          <w:tcPr>
            <w:tcW w:w="3544" w:type="dxa"/>
          </w:tcPr>
          <w:p w14:paraId="16FEF97E"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eastAsia="en-GB"/>
              </w:rPr>
              <w:t>Second cycle</w:t>
            </w:r>
          </w:p>
        </w:tc>
      </w:tr>
      <w:tr w:rsidR="00447A90" w:rsidRPr="006C54F0" w14:paraId="16FEF984" w14:textId="77777777" w:rsidTr="008D2C95">
        <w:trPr>
          <w:trHeight w:val="510"/>
        </w:trPr>
        <w:tc>
          <w:tcPr>
            <w:tcW w:w="3004" w:type="dxa"/>
            <w:shd w:val="clear" w:color="auto" w:fill="EEECE1"/>
            <w:vAlign w:val="center"/>
          </w:tcPr>
          <w:p w14:paraId="16FEF980"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Mode of study and duration (in years)</w:t>
            </w:r>
          </w:p>
        </w:tc>
        <w:tc>
          <w:tcPr>
            <w:tcW w:w="3402" w:type="dxa"/>
          </w:tcPr>
          <w:p w14:paraId="16FEF981" w14:textId="77777777" w:rsidR="00447A90" w:rsidRPr="006C54F0" w:rsidRDefault="00447A90" w:rsidP="006C54F0">
            <w:pPr>
              <w:rPr>
                <w:rFonts w:ascii="Cambria" w:eastAsia="Cambria" w:hAnsi="Cambria" w:cs="Cambria"/>
                <w:lang w:val="en-US" w:eastAsia="en-GB"/>
              </w:rPr>
            </w:pPr>
            <w:r w:rsidRPr="006C54F0">
              <w:rPr>
                <w:rFonts w:ascii="Cambria" w:eastAsia="Cambria" w:hAnsi="Cambria" w:cs="Cambria"/>
                <w:lang w:val="en-US" w:eastAsia="en-GB"/>
              </w:rPr>
              <w:t>Full-time 4 years,</w:t>
            </w:r>
          </w:p>
          <w:p w14:paraId="16FEF982" w14:textId="77777777" w:rsidR="00447A90" w:rsidRPr="006C54F0" w:rsidRDefault="00447A90" w:rsidP="006C54F0">
            <w:pPr>
              <w:rPr>
                <w:rFonts w:ascii="Cambria" w:eastAsia="Cambria" w:hAnsi="Cambria" w:cs="Cambria"/>
                <w:lang w:eastAsia="en-GB"/>
              </w:rPr>
            </w:pPr>
          </w:p>
        </w:tc>
        <w:tc>
          <w:tcPr>
            <w:tcW w:w="3544" w:type="dxa"/>
          </w:tcPr>
          <w:p w14:paraId="16FEF983"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Full-time 2 years</w:t>
            </w:r>
          </w:p>
        </w:tc>
      </w:tr>
      <w:tr w:rsidR="00447A90" w:rsidRPr="006C54F0" w14:paraId="16FEF988" w14:textId="77777777" w:rsidTr="008D2C95">
        <w:trPr>
          <w:trHeight w:val="510"/>
        </w:trPr>
        <w:tc>
          <w:tcPr>
            <w:tcW w:w="3004" w:type="dxa"/>
            <w:shd w:val="clear" w:color="auto" w:fill="EEECE1"/>
            <w:vAlign w:val="center"/>
          </w:tcPr>
          <w:p w14:paraId="16FEF985"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Credit volume</w:t>
            </w:r>
          </w:p>
        </w:tc>
        <w:tc>
          <w:tcPr>
            <w:tcW w:w="3402" w:type="dxa"/>
          </w:tcPr>
          <w:p w14:paraId="16FEF986"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240</w:t>
            </w:r>
          </w:p>
        </w:tc>
        <w:tc>
          <w:tcPr>
            <w:tcW w:w="3544" w:type="dxa"/>
          </w:tcPr>
          <w:p w14:paraId="16FEF987"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120</w:t>
            </w:r>
          </w:p>
        </w:tc>
      </w:tr>
      <w:tr w:rsidR="00447A90" w:rsidRPr="006C54F0" w14:paraId="16FEF98C" w14:textId="77777777" w:rsidTr="008D2C95">
        <w:trPr>
          <w:trHeight w:val="510"/>
        </w:trPr>
        <w:tc>
          <w:tcPr>
            <w:tcW w:w="3004" w:type="dxa"/>
            <w:shd w:val="clear" w:color="auto" w:fill="EEECE1"/>
            <w:vAlign w:val="center"/>
          </w:tcPr>
          <w:p w14:paraId="16FEF989"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Qualification degree and (or) professional qualification</w:t>
            </w:r>
          </w:p>
        </w:tc>
        <w:tc>
          <w:tcPr>
            <w:tcW w:w="3402" w:type="dxa"/>
          </w:tcPr>
          <w:p w14:paraId="16FEF98A"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Bachelor of Engineering</w:t>
            </w:r>
          </w:p>
        </w:tc>
        <w:tc>
          <w:tcPr>
            <w:tcW w:w="3544" w:type="dxa"/>
          </w:tcPr>
          <w:p w14:paraId="16FEF98B"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Master of Engineering</w:t>
            </w:r>
          </w:p>
        </w:tc>
      </w:tr>
      <w:tr w:rsidR="00447A90" w:rsidRPr="006C54F0" w14:paraId="16FEF990" w14:textId="77777777" w:rsidTr="008D2C95">
        <w:trPr>
          <w:trHeight w:val="510"/>
        </w:trPr>
        <w:tc>
          <w:tcPr>
            <w:tcW w:w="3004" w:type="dxa"/>
            <w:shd w:val="clear" w:color="auto" w:fill="EEECE1"/>
            <w:vAlign w:val="center"/>
          </w:tcPr>
          <w:p w14:paraId="16FEF98D"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Language of instruction</w:t>
            </w:r>
          </w:p>
        </w:tc>
        <w:tc>
          <w:tcPr>
            <w:tcW w:w="3402" w:type="dxa"/>
          </w:tcPr>
          <w:p w14:paraId="16FEF98E"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Lithuanian, English</w:t>
            </w:r>
          </w:p>
        </w:tc>
        <w:tc>
          <w:tcPr>
            <w:tcW w:w="3544" w:type="dxa"/>
          </w:tcPr>
          <w:p w14:paraId="16FEF98F"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val="en-US" w:eastAsia="en-GB"/>
              </w:rPr>
              <w:t>Lithuanian</w:t>
            </w:r>
          </w:p>
        </w:tc>
      </w:tr>
      <w:tr w:rsidR="00447A90" w:rsidRPr="006C54F0" w14:paraId="16FEF994" w14:textId="77777777" w:rsidTr="008D2C95">
        <w:trPr>
          <w:trHeight w:val="510"/>
        </w:trPr>
        <w:tc>
          <w:tcPr>
            <w:tcW w:w="3004" w:type="dxa"/>
            <w:shd w:val="clear" w:color="auto" w:fill="EEECE1"/>
            <w:vAlign w:val="center"/>
          </w:tcPr>
          <w:p w14:paraId="16FEF991"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Minimum education required</w:t>
            </w:r>
          </w:p>
        </w:tc>
        <w:tc>
          <w:tcPr>
            <w:tcW w:w="3402" w:type="dxa"/>
          </w:tcPr>
          <w:p w14:paraId="16FEF992" w14:textId="77777777" w:rsidR="00447A90" w:rsidRPr="006C54F0" w:rsidRDefault="00447A90" w:rsidP="006C54F0">
            <w:pPr>
              <w:rPr>
                <w:rFonts w:ascii="Cambria" w:eastAsia="Cambria" w:hAnsi="Cambria" w:cs="Cambria"/>
                <w:lang w:eastAsia="en-GB"/>
              </w:rPr>
            </w:pPr>
            <w:r w:rsidRPr="006C54F0">
              <w:rPr>
                <w:rFonts w:ascii="Cambria" w:eastAsia="Cambria" w:hAnsi="Cambria" w:cs="Cambria"/>
                <w:lang w:eastAsia="en-GB"/>
              </w:rPr>
              <w:t>Secondary education</w:t>
            </w:r>
          </w:p>
        </w:tc>
        <w:tc>
          <w:tcPr>
            <w:tcW w:w="3544" w:type="dxa"/>
          </w:tcPr>
          <w:p w14:paraId="16FEF993" w14:textId="77777777" w:rsidR="00447A90" w:rsidRPr="006C54F0" w:rsidRDefault="00447A90" w:rsidP="006C54F0">
            <w:pPr>
              <w:rPr>
                <w:rFonts w:ascii="Cambria" w:eastAsia="Cambria" w:hAnsi="Cambria" w:cs="Cambria"/>
                <w:lang w:eastAsia="en-GB"/>
              </w:rPr>
            </w:pPr>
            <w:r w:rsidRPr="00447A90">
              <w:rPr>
                <w:rFonts w:ascii="Cambria" w:eastAsia="Cambria" w:hAnsi="Cambria" w:cs="Cambria"/>
                <w:lang w:val="en-US" w:eastAsia="en-GB"/>
              </w:rPr>
              <w:t>Higher education</w:t>
            </w:r>
          </w:p>
        </w:tc>
      </w:tr>
      <w:tr w:rsidR="00447A90" w:rsidRPr="006C54F0" w14:paraId="16FEF998" w14:textId="77777777" w:rsidTr="008D2C95">
        <w:trPr>
          <w:trHeight w:val="510"/>
        </w:trPr>
        <w:tc>
          <w:tcPr>
            <w:tcW w:w="3004" w:type="dxa"/>
            <w:shd w:val="clear" w:color="auto" w:fill="EEECE1"/>
            <w:vAlign w:val="center"/>
          </w:tcPr>
          <w:p w14:paraId="16FEF995" w14:textId="77777777" w:rsidR="00447A90" w:rsidRPr="006C54F0" w:rsidRDefault="00447A90" w:rsidP="006C54F0">
            <w:pPr>
              <w:rPr>
                <w:rFonts w:ascii="Cambria" w:eastAsia="Cambria" w:hAnsi="Cambria" w:cs="Cambria"/>
                <w:color w:val="136C73"/>
                <w:lang w:eastAsia="en-GB"/>
              </w:rPr>
            </w:pPr>
            <w:r w:rsidRPr="006C54F0">
              <w:rPr>
                <w:rFonts w:ascii="Cambria" w:eastAsia="Cambria" w:hAnsi="Cambria" w:cs="Cambria"/>
                <w:color w:val="136C73"/>
                <w:lang w:eastAsia="en-GB"/>
              </w:rPr>
              <w:t>Registration date of the study programme</w:t>
            </w:r>
          </w:p>
        </w:tc>
        <w:tc>
          <w:tcPr>
            <w:tcW w:w="3402" w:type="dxa"/>
          </w:tcPr>
          <w:p w14:paraId="16FEF996" w14:textId="77777777" w:rsidR="00447A90" w:rsidRPr="006C54F0" w:rsidRDefault="00447A90" w:rsidP="006C54F0">
            <w:pPr>
              <w:rPr>
                <w:rFonts w:ascii="Cambria" w:eastAsia="Cambria" w:hAnsi="Cambria" w:cs="Cambria"/>
                <w:color w:val="000000"/>
                <w:lang w:eastAsia="en-GB"/>
              </w:rPr>
            </w:pPr>
            <w:r>
              <w:rPr>
                <w:rFonts w:ascii="Cambria" w:eastAsia="Cambria" w:hAnsi="Cambria" w:cs="Cambria"/>
                <w:color w:val="000000"/>
                <w:lang w:val="en-US" w:eastAsia="en-GB"/>
              </w:rPr>
              <w:t>19-05-1997</w:t>
            </w:r>
          </w:p>
        </w:tc>
        <w:tc>
          <w:tcPr>
            <w:tcW w:w="3544" w:type="dxa"/>
          </w:tcPr>
          <w:p w14:paraId="16FEF997" w14:textId="77777777" w:rsidR="00447A90" w:rsidRPr="006C54F0" w:rsidRDefault="00447A90" w:rsidP="006C54F0">
            <w:pPr>
              <w:rPr>
                <w:rFonts w:ascii="Cambria" w:eastAsia="Cambria" w:hAnsi="Cambria" w:cs="Cambria"/>
                <w:lang w:eastAsia="en-GB"/>
              </w:rPr>
            </w:pPr>
            <w:r w:rsidRPr="00447A90">
              <w:rPr>
                <w:rFonts w:ascii="Cambria" w:eastAsia="Cambria" w:hAnsi="Cambria" w:cs="Cambria"/>
                <w:lang w:val="en-US" w:eastAsia="en-GB"/>
              </w:rPr>
              <w:t>27-04-1999</w:t>
            </w:r>
          </w:p>
        </w:tc>
      </w:tr>
    </w:tbl>
    <w:p w14:paraId="16FEF999" w14:textId="77777777" w:rsidR="004C026D" w:rsidRPr="00CA6F8D" w:rsidRDefault="004C026D" w:rsidP="004C026D">
      <w:pPr>
        <w:rPr>
          <w:rFonts w:asciiTheme="majorHAnsi" w:hAnsiTheme="majorHAnsi"/>
          <w:i/>
          <w:color w:val="136C73"/>
          <w:lang w:eastAsia="en-GB"/>
        </w:rPr>
      </w:pPr>
    </w:p>
    <w:p w14:paraId="16FEF99A" w14:textId="77777777" w:rsidR="004C026D" w:rsidRPr="00CA6F8D" w:rsidRDefault="004C026D" w:rsidP="004C026D">
      <w:pPr>
        <w:rPr>
          <w:rFonts w:asciiTheme="majorHAnsi" w:hAnsiTheme="majorHAnsi"/>
          <w:i/>
          <w:color w:val="136C73"/>
          <w:lang w:eastAsia="en-GB"/>
        </w:rPr>
      </w:pPr>
    </w:p>
    <w:p w14:paraId="16FEF99B" w14:textId="77777777" w:rsidR="004C026D" w:rsidRPr="000D4EE3" w:rsidRDefault="004C026D" w:rsidP="004C026D">
      <w:pPr>
        <w:rPr>
          <w:rFonts w:ascii="Cambria" w:eastAsia="Calibri" w:hAnsi="Cambria"/>
          <w:lang w:eastAsia="lt-LT"/>
        </w:rPr>
      </w:pPr>
      <w:r w:rsidRPr="000D4EE3">
        <w:rPr>
          <w:rFonts w:ascii="Cambria" w:eastAsia="Calibri" w:hAnsi="Cambria"/>
          <w:lang w:val="lt-LT" w:eastAsia="lt-LT"/>
        </w:rPr>
        <w:t>&lt;...&gt;</w:t>
      </w:r>
      <w:r w:rsidRPr="000D4EE3">
        <w:rPr>
          <w:rFonts w:ascii="Cambria" w:eastAsia="Calibri" w:hAnsi="Cambria"/>
          <w:lang w:eastAsia="lt-LT"/>
        </w:rPr>
        <w:br w:type="page"/>
      </w:r>
    </w:p>
    <w:p w14:paraId="16FEF99C" w14:textId="77777777" w:rsidR="004C026D" w:rsidRPr="004715B5" w:rsidRDefault="004C026D" w:rsidP="004C026D">
      <w:pPr>
        <w:keepNext/>
        <w:keepLines/>
        <w:tabs>
          <w:tab w:val="left" w:pos="680"/>
        </w:tabs>
        <w:spacing w:before="240" w:after="240"/>
        <w:ind w:left="360"/>
        <w:jc w:val="center"/>
        <w:outlineLvl w:val="1"/>
        <w:rPr>
          <w:rFonts w:ascii="Cambria" w:hAnsi="Cambria"/>
          <w:b/>
          <w:bCs/>
          <w:caps/>
          <w:color w:val="136C73"/>
          <w:sz w:val="36"/>
          <w:szCs w:val="26"/>
          <w:highlight w:val="lightGray"/>
          <w:lang w:eastAsia="lt-LT"/>
        </w:rPr>
      </w:pPr>
      <w:bookmarkStart w:id="1" w:name="_Toc57129351"/>
      <w:r w:rsidRPr="004715B5">
        <w:rPr>
          <w:rFonts w:ascii="Cambria" w:hAnsi="Cambria"/>
          <w:b/>
          <w:bCs/>
          <w:caps/>
          <w:color w:val="136C73"/>
          <w:sz w:val="36"/>
          <w:szCs w:val="26"/>
          <w:lang w:eastAsia="lt-LT"/>
        </w:rPr>
        <w:lastRenderedPageBreak/>
        <w:t>II. GENERAL ASSESSMENT</w:t>
      </w:r>
      <w:bookmarkEnd w:id="1"/>
    </w:p>
    <w:p w14:paraId="16FEF99D" w14:textId="6F98E52B" w:rsidR="004C026D" w:rsidRPr="00921B7F" w:rsidRDefault="006C54F0" w:rsidP="004C026D">
      <w:pPr>
        <w:rPr>
          <w:rFonts w:ascii="Cambria" w:eastAsia="Calibri" w:hAnsi="Cambria"/>
          <w:i/>
          <w:lang w:eastAsia="lt-LT"/>
        </w:rPr>
      </w:pPr>
      <w:proofErr w:type="gramStart"/>
      <w:r>
        <w:rPr>
          <w:rFonts w:ascii="Cambria" w:eastAsia="Calibri" w:hAnsi="Cambria"/>
          <w:i/>
          <w:lang w:eastAsia="lt-LT"/>
        </w:rPr>
        <w:t xml:space="preserve">Energy </w:t>
      </w:r>
      <w:r w:rsidR="004C026D" w:rsidRPr="00921B7F">
        <w:rPr>
          <w:rFonts w:ascii="Cambria" w:eastAsia="Calibri" w:hAnsi="Cambria"/>
          <w:i/>
          <w:lang w:eastAsia="lt-LT"/>
        </w:rPr>
        <w:t xml:space="preserve"> engineering</w:t>
      </w:r>
      <w:proofErr w:type="gramEnd"/>
      <w:r w:rsidR="004C026D" w:rsidRPr="00921B7F">
        <w:rPr>
          <w:rFonts w:ascii="Cambria" w:eastAsia="Calibri" w:hAnsi="Cambria"/>
          <w:i/>
          <w:lang w:eastAsia="lt-LT"/>
        </w:rPr>
        <w:t xml:space="preserve"> study field and </w:t>
      </w:r>
      <w:r w:rsidR="004C026D" w:rsidRPr="00921B7F">
        <w:rPr>
          <w:rFonts w:ascii="Cambria" w:eastAsia="Calibri" w:hAnsi="Cambria"/>
          <w:b/>
          <w:i/>
          <w:lang w:eastAsia="lt-LT"/>
        </w:rPr>
        <w:t>first cycle</w:t>
      </w:r>
      <w:r w:rsidR="004C026D" w:rsidRPr="00921B7F">
        <w:rPr>
          <w:rFonts w:ascii="Cambria" w:eastAsia="Calibri" w:hAnsi="Cambria"/>
          <w:i/>
          <w:lang w:eastAsia="lt-LT"/>
        </w:rPr>
        <w:t xml:space="preserve"> at</w:t>
      </w:r>
      <w:r w:rsidR="009654E2">
        <w:rPr>
          <w:rFonts w:ascii="Cambria" w:eastAsia="Calibri" w:hAnsi="Cambria"/>
          <w:i/>
          <w:lang w:eastAsia="lt-LT"/>
        </w:rPr>
        <w:t xml:space="preserve"> Vilnius Gediminas </w:t>
      </w:r>
      <w:r w:rsidR="00CE0C67">
        <w:rPr>
          <w:rFonts w:ascii="Cambria" w:eastAsia="Calibri" w:hAnsi="Cambria"/>
          <w:i/>
          <w:lang w:eastAsia="lt-LT"/>
        </w:rPr>
        <w:t>T</w:t>
      </w:r>
      <w:r w:rsidR="009654E2">
        <w:rPr>
          <w:rFonts w:ascii="Cambria" w:eastAsia="Calibri" w:hAnsi="Cambria"/>
          <w:i/>
          <w:lang w:eastAsia="lt-LT"/>
        </w:rPr>
        <w:t xml:space="preserve">echnical </w:t>
      </w:r>
      <w:r w:rsidR="00CE0C67">
        <w:rPr>
          <w:rFonts w:ascii="Cambria" w:eastAsia="Calibri" w:hAnsi="Cambria"/>
          <w:i/>
          <w:lang w:eastAsia="lt-LT"/>
        </w:rPr>
        <w:t>U</w:t>
      </w:r>
      <w:r w:rsidR="009654E2">
        <w:rPr>
          <w:rFonts w:ascii="Cambria" w:eastAsia="Calibri" w:hAnsi="Cambria"/>
          <w:i/>
          <w:lang w:eastAsia="lt-LT"/>
        </w:rPr>
        <w:t>niversity</w:t>
      </w:r>
      <w:r w:rsidR="004C026D" w:rsidRPr="00921B7F">
        <w:rPr>
          <w:rFonts w:ascii="Cambria" w:eastAsia="Calibri" w:hAnsi="Cambria"/>
          <w:i/>
          <w:lang w:eastAsia="lt-LT"/>
        </w:rPr>
        <w:t xml:space="preserve"> is given</w:t>
      </w:r>
      <w:r w:rsidR="004C026D" w:rsidRPr="00921B7F">
        <w:rPr>
          <w:rFonts w:ascii="Cambria" w:eastAsia="Calibri" w:hAnsi="Cambria"/>
          <w:b/>
          <w:i/>
          <w:lang w:eastAsia="lt-LT"/>
        </w:rPr>
        <w:t xml:space="preserve"> positive </w:t>
      </w:r>
      <w:r w:rsidR="004C026D" w:rsidRPr="00921B7F">
        <w:rPr>
          <w:rFonts w:ascii="Cambria" w:eastAsia="Calibri" w:hAnsi="Cambria"/>
          <w:i/>
          <w:lang w:eastAsia="lt-LT"/>
        </w:rPr>
        <w:t xml:space="preserve">evaluation. </w:t>
      </w:r>
    </w:p>
    <w:p w14:paraId="16FEF99E" w14:textId="77777777" w:rsidR="004C026D" w:rsidRPr="004715B5" w:rsidRDefault="004C026D" w:rsidP="004C026D">
      <w:pPr>
        <w:rPr>
          <w:rFonts w:ascii="Cambria" w:eastAsia="Calibri" w:hAnsi="Cambria"/>
          <w:lang w:eastAsia="lt-LT"/>
        </w:rPr>
      </w:pPr>
      <w:r>
        <w:rPr>
          <w:rFonts w:ascii="Cambria" w:eastAsia="Calibri" w:hAnsi="Cambria"/>
          <w:i/>
          <w:lang w:eastAsia="lt-LT"/>
        </w:rPr>
        <w:t>Study field</w:t>
      </w:r>
      <w:r w:rsidRPr="004715B5">
        <w:rPr>
          <w:rFonts w:ascii="Cambria" w:eastAsia="Calibri" w:hAnsi="Cambria"/>
          <w:i/>
          <w:lang w:eastAsia="lt-LT"/>
        </w:rPr>
        <w:t xml:space="preserve"> </w:t>
      </w:r>
      <w:r>
        <w:rPr>
          <w:rFonts w:ascii="Cambria" w:eastAsia="Calibri" w:hAnsi="Cambria"/>
          <w:i/>
          <w:lang w:eastAsia="lt-LT"/>
        </w:rPr>
        <w:t xml:space="preserve">and cycle </w:t>
      </w:r>
      <w:r w:rsidRPr="004715B5">
        <w:rPr>
          <w:rFonts w:ascii="Cambria" w:eastAsia="Calibri" w:hAnsi="Cambria"/>
          <w:i/>
          <w:lang w:eastAsia="lt-LT"/>
        </w:rPr>
        <w:t>assessment in points by evaluation areas</w:t>
      </w:r>
      <w:r w:rsidRPr="004715B5">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4C026D" w:rsidRPr="004715B5" w14:paraId="16FEF9A2" w14:textId="77777777" w:rsidTr="009654E2">
        <w:trPr>
          <w:trHeight w:val="60"/>
        </w:trPr>
        <w:tc>
          <w:tcPr>
            <w:tcW w:w="5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9F" w14:textId="77777777" w:rsidR="004C026D" w:rsidRPr="004715B5" w:rsidRDefault="004C026D" w:rsidP="003E41FC">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6FEF9A0" w14:textId="77777777" w:rsidR="004C026D" w:rsidRPr="004715B5" w:rsidRDefault="004C026D" w:rsidP="003E41FC">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6FEF9A1" w14:textId="77777777" w:rsidR="004C026D" w:rsidRPr="004715B5" w:rsidRDefault="004C026D" w:rsidP="003E41FC">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9654E2" w:rsidRPr="004715B5" w14:paraId="16FEF9A6" w14:textId="77777777" w:rsidTr="009654E2">
        <w:trPr>
          <w:trHeight w:val="399"/>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A3"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A4" w14:textId="77777777" w:rsidR="009654E2" w:rsidRPr="004715B5" w:rsidRDefault="009654E2" w:rsidP="003E41FC">
            <w:pPr>
              <w:numPr>
                <w:ilvl w:val="8"/>
                <w:numId w:val="1"/>
              </w:numPr>
              <w:tabs>
                <w:tab w:val="clear" w:pos="360"/>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A5"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AA"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A7"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A8" w14:textId="77777777" w:rsidR="009654E2" w:rsidRPr="004715B5" w:rsidRDefault="009654E2" w:rsidP="003E41FC">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A9" w14:textId="77777777" w:rsidR="009654E2" w:rsidRDefault="009654E2" w:rsidP="00331CAD">
            <w:pPr>
              <w:jc w:val="center"/>
              <w:rPr>
                <w:rFonts w:ascii="Cambria" w:eastAsia="Cambria" w:hAnsi="Cambria" w:cs="Cambria"/>
              </w:rPr>
            </w:pPr>
            <w:r>
              <w:rPr>
                <w:rFonts w:ascii="Cambria" w:eastAsia="Cambria" w:hAnsi="Cambria" w:cs="Cambria"/>
              </w:rPr>
              <w:t>4</w:t>
            </w:r>
          </w:p>
        </w:tc>
      </w:tr>
      <w:tr w:rsidR="009654E2" w:rsidRPr="004715B5" w14:paraId="16FEF9AE"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AB"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AC"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AD"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B2"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AF"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0" w14:textId="77777777" w:rsidR="009654E2" w:rsidRPr="004715B5" w:rsidRDefault="009654E2" w:rsidP="003E41FC">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1" w14:textId="77777777" w:rsidR="009654E2" w:rsidRDefault="009654E2" w:rsidP="00331CAD">
            <w:pPr>
              <w:jc w:val="center"/>
              <w:rPr>
                <w:rFonts w:ascii="Cambria" w:eastAsia="Cambria" w:hAnsi="Cambria" w:cs="Cambria"/>
              </w:rPr>
            </w:pPr>
            <w:r>
              <w:rPr>
                <w:rFonts w:ascii="Cambria" w:eastAsia="Cambria" w:hAnsi="Cambria" w:cs="Cambria"/>
              </w:rPr>
              <w:t>4</w:t>
            </w:r>
          </w:p>
        </w:tc>
      </w:tr>
      <w:tr w:rsidR="009654E2" w:rsidRPr="004715B5" w14:paraId="16FEF9B6"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B3"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4"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5" w14:textId="77777777" w:rsidR="009654E2" w:rsidRDefault="009654E2" w:rsidP="00331CAD">
            <w:pPr>
              <w:jc w:val="center"/>
              <w:rPr>
                <w:rFonts w:ascii="Cambria" w:eastAsia="Cambria" w:hAnsi="Cambria" w:cs="Cambria"/>
              </w:rPr>
            </w:pPr>
            <w:r>
              <w:rPr>
                <w:rFonts w:ascii="Cambria" w:eastAsia="Cambria" w:hAnsi="Cambria" w:cs="Cambria"/>
              </w:rPr>
              <w:t>4</w:t>
            </w:r>
          </w:p>
        </w:tc>
      </w:tr>
      <w:tr w:rsidR="009654E2" w:rsidRPr="004715B5" w14:paraId="16FEF9BA"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B7"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8"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9"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BE"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BB"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C" w14:textId="77777777" w:rsidR="009654E2" w:rsidRPr="004715B5" w:rsidRDefault="009654E2" w:rsidP="003E41FC">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BD"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C2" w14:textId="77777777" w:rsidTr="009654E2">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BF" w14:textId="77777777" w:rsidR="009654E2" w:rsidRPr="004715B5" w:rsidRDefault="009654E2" w:rsidP="003E41FC">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C0"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C1" w14:textId="77777777" w:rsidR="009654E2" w:rsidRDefault="009654E2" w:rsidP="00331CAD">
            <w:pPr>
              <w:jc w:val="center"/>
              <w:rPr>
                <w:rFonts w:ascii="Cambria" w:eastAsia="Cambria" w:hAnsi="Cambria" w:cs="Cambria"/>
              </w:rPr>
            </w:pPr>
            <w:r>
              <w:rPr>
                <w:rFonts w:ascii="Cambria" w:eastAsia="Cambria" w:hAnsi="Cambria" w:cs="Cambria"/>
              </w:rPr>
              <w:t>24</w:t>
            </w:r>
          </w:p>
        </w:tc>
      </w:tr>
    </w:tbl>
    <w:p w14:paraId="16FEF9C3"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16FEF9C4"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16FEF9C5"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16FEF9C6"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16FEF9C7"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16FEF9C8" w14:textId="77777777" w:rsidR="004C026D" w:rsidRDefault="004C026D" w:rsidP="004C026D">
      <w:pPr>
        <w:rPr>
          <w:rFonts w:ascii="Cambria" w:eastAsia="Calibri" w:hAnsi="Cambria"/>
          <w:i/>
          <w:highlight w:val="yellow"/>
          <w:lang w:eastAsia="lt-LT"/>
        </w:rPr>
      </w:pPr>
    </w:p>
    <w:p w14:paraId="16FEF9C9" w14:textId="7C2EC08F" w:rsidR="004C026D" w:rsidRPr="00921B7F" w:rsidRDefault="006C54F0" w:rsidP="004C026D">
      <w:pPr>
        <w:rPr>
          <w:rFonts w:ascii="Cambria" w:eastAsia="Calibri" w:hAnsi="Cambria"/>
          <w:i/>
          <w:lang w:eastAsia="lt-LT"/>
        </w:rPr>
      </w:pPr>
      <w:r>
        <w:rPr>
          <w:rFonts w:ascii="Cambria" w:eastAsia="Calibri" w:hAnsi="Cambria"/>
          <w:i/>
          <w:lang w:eastAsia="lt-LT"/>
        </w:rPr>
        <w:t>Energy</w:t>
      </w:r>
      <w:r w:rsidR="004C026D" w:rsidRPr="00921B7F">
        <w:rPr>
          <w:rFonts w:ascii="Cambria" w:eastAsia="Calibri" w:hAnsi="Cambria"/>
          <w:i/>
          <w:lang w:eastAsia="lt-LT"/>
        </w:rPr>
        <w:t xml:space="preserve"> engineering study field and </w:t>
      </w:r>
      <w:r w:rsidR="004C026D" w:rsidRPr="00921B7F">
        <w:rPr>
          <w:rFonts w:ascii="Cambria" w:eastAsia="Calibri" w:hAnsi="Cambria"/>
          <w:b/>
          <w:i/>
          <w:lang w:eastAsia="lt-LT"/>
        </w:rPr>
        <w:t>second cycle</w:t>
      </w:r>
      <w:r w:rsidR="004C026D" w:rsidRPr="00921B7F">
        <w:rPr>
          <w:rFonts w:ascii="Cambria" w:eastAsia="Calibri" w:hAnsi="Cambria"/>
          <w:i/>
          <w:lang w:eastAsia="lt-LT"/>
        </w:rPr>
        <w:t xml:space="preserve"> at </w:t>
      </w:r>
      <w:r w:rsidR="00CE0C67">
        <w:rPr>
          <w:rFonts w:ascii="Cambria" w:eastAsia="Calibri" w:hAnsi="Cambria"/>
          <w:i/>
          <w:lang w:eastAsia="lt-LT"/>
        </w:rPr>
        <w:t>Vilnius Gediminas Technical U</w:t>
      </w:r>
      <w:r w:rsidR="009654E2" w:rsidRPr="009654E2">
        <w:rPr>
          <w:rFonts w:ascii="Cambria" w:eastAsia="Calibri" w:hAnsi="Cambria"/>
          <w:i/>
          <w:lang w:eastAsia="lt-LT"/>
        </w:rPr>
        <w:t xml:space="preserve">niversity </w:t>
      </w:r>
      <w:r w:rsidR="004C026D" w:rsidRPr="00921B7F">
        <w:rPr>
          <w:rFonts w:ascii="Cambria" w:eastAsia="Calibri" w:hAnsi="Cambria"/>
          <w:i/>
          <w:lang w:eastAsia="lt-LT"/>
        </w:rPr>
        <w:t>is given</w:t>
      </w:r>
      <w:r w:rsidR="004C026D" w:rsidRPr="00921B7F">
        <w:rPr>
          <w:rFonts w:ascii="Cambria" w:eastAsia="Calibri" w:hAnsi="Cambria"/>
          <w:b/>
          <w:i/>
          <w:lang w:eastAsia="lt-LT"/>
        </w:rPr>
        <w:t xml:space="preserve"> positive </w:t>
      </w:r>
      <w:r w:rsidR="004C026D" w:rsidRPr="00921B7F">
        <w:rPr>
          <w:rFonts w:ascii="Cambria" w:eastAsia="Calibri" w:hAnsi="Cambria"/>
          <w:i/>
          <w:lang w:eastAsia="lt-LT"/>
        </w:rPr>
        <w:t xml:space="preserve">evaluation. </w:t>
      </w:r>
    </w:p>
    <w:p w14:paraId="16FEF9CA" w14:textId="77777777" w:rsidR="004C026D" w:rsidRDefault="004C026D" w:rsidP="004C026D">
      <w:pPr>
        <w:rPr>
          <w:rFonts w:ascii="Cambria" w:eastAsia="Calibri" w:hAnsi="Cambria"/>
          <w:lang w:eastAsia="lt-LT"/>
        </w:rPr>
      </w:pPr>
      <w:r>
        <w:rPr>
          <w:rFonts w:ascii="Cambria" w:eastAsia="Calibri" w:hAnsi="Cambria"/>
          <w:i/>
          <w:lang w:eastAsia="lt-LT"/>
        </w:rPr>
        <w:t>Study field</w:t>
      </w:r>
      <w:r w:rsidRPr="004715B5">
        <w:rPr>
          <w:rFonts w:ascii="Cambria" w:eastAsia="Calibri" w:hAnsi="Cambria"/>
          <w:i/>
          <w:lang w:eastAsia="lt-LT"/>
        </w:rPr>
        <w:t xml:space="preserve"> </w:t>
      </w:r>
      <w:r>
        <w:rPr>
          <w:rFonts w:ascii="Cambria" w:eastAsia="Calibri" w:hAnsi="Cambria"/>
          <w:i/>
          <w:lang w:eastAsia="lt-LT"/>
        </w:rPr>
        <w:t xml:space="preserve">and cycle </w:t>
      </w:r>
      <w:r w:rsidRPr="004715B5">
        <w:rPr>
          <w:rFonts w:ascii="Cambria" w:eastAsia="Calibri" w:hAnsi="Cambria"/>
          <w:i/>
          <w:lang w:eastAsia="lt-LT"/>
        </w:rPr>
        <w:t>assessment in points by evaluation areas</w:t>
      </w:r>
      <w:r w:rsidRPr="004715B5">
        <w:rPr>
          <w:rFonts w:ascii="Cambria" w:eastAsia="Calibri" w:hAnsi="Cambria"/>
          <w:lang w:eastAsia="lt-LT"/>
        </w:rPr>
        <w:t>.</w:t>
      </w:r>
    </w:p>
    <w:tbl>
      <w:tblPr>
        <w:tblW w:w="0" w:type="auto"/>
        <w:tblInd w:w="108" w:type="dxa"/>
        <w:tblCellMar>
          <w:left w:w="0" w:type="dxa"/>
          <w:right w:w="0" w:type="dxa"/>
        </w:tblCellMar>
        <w:tblLook w:val="0000" w:firstRow="0" w:lastRow="0" w:firstColumn="0" w:lastColumn="0" w:noHBand="0" w:noVBand="0"/>
      </w:tblPr>
      <w:tblGrid>
        <w:gridCol w:w="572"/>
        <w:gridCol w:w="6990"/>
        <w:gridCol w:w="1806"/>
      </w:tblGrid>
      <w:tr w:rsidR="004C026D" w:rsidRPr="004715B5" w14:paraId="16FEF9CE" w14:textId="77777777" w:rsidTr="003E41FC">
        <w:trPr>
          <w:trHeight w:val="60"/>
        </w:trPr>
        <w:tc>
          <w:tcPr>
            <w:tcW w:w="5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CB" w14:textId="77777777" w:rsidR="004C026D" w:rsidRPr="004715B5" w:rsidRDefault="004C026D" w:rsidP="003E41FC">
            <w:pPr>
              <w:jc w:val="center"/>
              <w:rPr>
                <w:rFonts w:ascii="Cambria" w:eastAsia="Calibri" w:hAnsi="Cambria"/>
                <w:b/>
                <w:color w:val="632423"/>
                <w:lang w:eastAsia="lt-LT"/>
              </w:rPr>
            </w:pPr>
            <w:r w:rsidRPr="004715B5">
              <w:rPr>
                <w:rFonts w:ascii="Cambria" w:eastAsia="Calibri" w:hAnsi="Cambria"/>
                <w:b/>
                <w:color w:val="632423"/>
                <w:lang w:eastAsia="lt-LT"/>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6FEF9CC" w14:textId="77777777" w:rsidR="004C026D" w:rsidRPr="004715B5" w:rsidRDefault="004C026D" w:rsidP="003E41FC">
            <w:pPr>
              <w:jc w:val="center"/>
              <w:rPr>
                <w:rFonts w:ascii="Cambria" w:eastAsia="Calibri" w:hAnsi="Cambria"/>
                <w:b/>
                <w:color w:val="632423"/>
                <w:lang w:eastAsia="lt-LT"/>
              </w:rPr>
            </w:pPr>
            <w:r w:rsidRPr="004715B5">
              <w:rPr>
                <w:rFonts w:ascii="Cambria" w:eastAsia="Calibri" w:hAnsi="Cambria"/>
                <w:b/>
                <w:color w:val="632423"/>
                <w:lang w:eastAsia="lt-LT"/>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6FEF9CD" w14:textId="77777777" w:rsidR="004C026D" w:rsidRPr="004715B5" w:rsidRDefault="004C026D" w:rsidP="003E41FC">
            <w:pPr>
              <w:jc w:val="center"/>
              <w:rPr>
                <w:rFonts w:ascii="Cambria" w:eastAsia="Calibri" w:hAnsi="Cambria"/>
                <w:b/>
                <w:color w:val="632423"/>
                <w:lang w:eastAsia="lt-LT"/>
              </w:rPr>
            </w:pPr>
            <w:r w:rsidRPr="004715B5">
              <w:rPr>
                <w:rFonts w:ascii="Cambria" w:eastAsia="Calibri" w:hAnsi="Cambria"/>
                <w:b/>
                <w:color w:val="632423"/>
                <w:lang w:eastAsia="lt-LT"/>
              </w:rPr>
              <w:t>Evaluation of an area in points*   </w:t>
            </w:r>
          </w:p>
        </w:tc>
      </w:tr>
      <w:tr w:rsidR="009654E2" w:rsidRPr="004715B5" w14:paraId="16FEF9D2" w14:textId="77777777" w:rsidTr="003E41FC">
        <w:trPr>
          <w:trHeight w:val="399"/>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CF"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0" w14:textId="77777777" w:rsidR="009654E2" w:rsidRPr="004715B5" w:rsidRDefault="009654E2" w:rsidP="003E41FC">
            <w:pPr>
              <w:numPr>
                <w:ilvl w:val="8"/>
                <w:numId w:val="1"/>
              </w:numPr>
              <w:tabs>
                <w:tab w:val="clear" w:pos="360"/>
                <w:tab w:val="num" w:pos="0"/>
              </w:tabs>
              <w:rPr>
                <w:rFonts w:ascii="Cambria" w:eastAsia="Calibri" w:hAnsi="Cambria"/>
                <w:lang w:eastAsia="lt-LT"/>
              </w:rPr>
            </w:pPr>
            <w:r>
              <w:rPr>
                <w:rFonts w:ascii="Cambria" w:hAnsi="Cambria"/>
              </w:rPr>
              <w:t>Intended and achieved learning outcomes and curriculum</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1"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D6"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D3"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4" w14:textId="77777777" w:rsidR="009654E2" w:rsidRPr="004715B5" w:rsidRDefault="009654E2" w:rsidP="003E41FC">
            <w:pPr>
              <w:rPr>
                <w:rFonts w:ascii="Cambria" w:eastAsia="Calibri" w:hAnsi="Cambria"/>
                <w:lang w:eastAsia="lt-LT"/>
              </w:rPr>
            </w:pPr>
            <w:r w:rsidRPr="006D1CFD">
              <w:rPr>
                <w:rFonts w:ascii="Cambria" w:eastAsia="Calibri" w:hAnsi="Cambria"/>
                <w:lang w:eastAsia="lt-LT"/>
              </w:rPr>
              <w:t>Links between science (art) and studies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5" w14:textId="77777777" w:rsidR="009654E2" w:rsidRDefault="009654E2" w:rsidP="00331CAD">
            <w:pPr>
              <w:jc w:val="center"/>
              <w:rPr>
                <w:rFonts w:ascii="Cambria" w:eastAsia="Cambria" w:hAnsi="Cambria" w:cs="Cambria"/>
              </w:rPr>
            </w:pPr>
            <w:r>
              <w:rPr>
                <w:rFonts w:ascii="Cambria" w:eastAsia="Cambria" w:hAnsi="Cambria" w:cs="Cambria"/>
              </w:rPr>
              <w:t>4</w:t>
            </w:r>
          </w:p>
        </w:tc>
      </w:tr>
      <w:tr w:rsidR="009654E2" w:rsidRPr="004715B5" w14:paraId="16FEF9DA"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D7"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8"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Student admission and support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9"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DE"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DB"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C" w14:textId="77777777" w:rsidR="009654E2" w:rsidRPr="004715B5" w:rsidRDefault="009654E2" w:rsidP="003E41FC">
            <w:pPr>
              <w:tabs>
                <w:tab w:val="left" w:pos="0"/>
              </w:tabs>
              <w:rPr>
                <w:rFonts w:ascii="Cambria" w:eastAsia="Calibri" w:hAnsi="Cambria"/>
                <w:lang w:eastAsia="lt-LT"/>
              </w:rPr>
            </w:pPr>
            <w:r w:rsidRPr="006D1CFD">
              <w:rPr>
                <w:rFonts w:ascii="Cambria" w:eastAsia="Calibri" w:hAnsi="Cambria"/>
                <w:lang w:eastAsia="lt-LT"/>
              </w:rPr>
              <w:t>Teaching and learning, student performance and graduate employment</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DD" w14:textId="77777777" w:rsidR="009654E2" w:rsidRDefault="009654E2" w:rsidP="00331CAD">
            <w:pPr>
              <w:jc w:val="center"/>
              <w:rPr>
                <w:rFonts w:ascii="Cambria" w:eastAsia="Cambria" w:hAnsi="Cambria" w:cs="Cambria"/>
              </w:rPr>
            </w:pPr>
            <w:r>
              <w:rPr>
                <w:rFonts w:ascii="Cambria" w:eastAsia="Cambria" w:hAnsi="Cambria" w:cs="Cambria"/>
              </w:rPr>
              <w:t>4</w:t>
            </w:r>
          </w:p>
        </w:tc>
      </w:tr>
      <w:tr w:rsidR="009654E2" w:rsidRPr="004715B5" w14:paraId="16FEF9E2"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DF"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0"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1" w14:textId="77777777" w:rsidR="009654E2" w:rsidRDefault="009654E2" w:rsidP="00331CAD">
            <w:pPr>
              <w:jc w:val="center"/>
              <w:rPr>
                <w:rFonts w:ascii="Cambria" w:eastAsia="Cambria" w:hAnsi="Cambria" w:cs="Cambria"/>
              </w:rPr>
            </w:pPr>
            <w:r>
              <w:rPr>
                <w:rFonts w:ascii="Cambria" w:eastAsia="Cambria" w:hAnsi="Cambria" w:cs="Cambria"/>
              </w:rPr>
              <w:t>4</w:t>
            </w:r>
          </w:p>
        </w:tc>
      </w:tr>
      <w:tr w:rsidR="009654E2" w:rsidRPr="004715B5" w14:paraId="16FEF9E6"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E3"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4"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Learning facilities and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5"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EA"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E7" w14:textId="77777777" w:rsidR="009654E2" w:rsidRPr="004715B5" w:rsidRDefault="009654E2" w:rsidP="003E41FC">
            <w:pPr>
              <w:rPr>
                <w:rFonts w:ascii="Cambria" w:eastAsia="Calibri" w:hAnsi="Cambria"/>
                <w:lang w:eastAsia="lt-LT"/>
              </w:rPr>
            </w:pPr>
            <w:r w:rsidRPr="004715B5">
              <w:rPr>
                <w:rFonts w:ascii="Cambria" w:eastAsia="Calibri" w:hAnsi="Cambria"/>
                <w:lang w:eastAsia="lt-LT"/>
              </w:rPr>
              <w:t>7.</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8" w14:textId="77777777" w:rsidR="009654E2" w:rsidRPr="004715B5" w:rsidRDefault="009654E2" w:rsidP="003E41FC">
            <w:pPr>
              <w:tabs>
                <w:tab w:val="left" w:pos="29"/>
              </w:tabs>
              <w:rPr>
                <w:rFonts w:ascii="Cambria" w:eastAsia="Calibri" w:hAnsi="Cambria"/>
                <w:lang w:eastAsia="lt-LT"/>
              </w:rPr>
            </w:pPr>
            <w:r w:rsidRPr="004715B5">
              <w:rPr>
                <w:rFonts w:ascii="Cambria" w:eastAsia="Calibri" w:hAnsi="Cambria"/>
                <w:lang w:eastAsia="lt-LT"/>
              </w:rPr>
              <w:t xml:space="preserve">Study quality management and </w:t>
            </w:r>
            <w:r w:rsidRPr="006D1CFD">
              <w:rPr>
                <w:rFonts w:ascii="Cambria" w:eastAsia="Calibri" w:hAnsi="Cambria"/>
                <w:lang w:eastAsia="lt-LT"/>
              </w:rPr>
              <w:t>public information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9" w14:textId="77777777" w:rsidR="009654E2" w:rsidRDefault="009654E2" w:rsidP="00331CAD">
            <w:pPr>
              <w:jc w:val="center"/>
              <w:rPr>
                <w:rFonts w:ascii="Cambria" w:eastAsia="Cambria" w:hAnsi="Cambria" w:cs="Cambria"/>
              </w:rPr>
            </w:pPr>
            <w:r>
              <w:rPr>
                <w:rFonts w:ascii="Cambria" w:eastAsia="Cambria" w:hAnsi="Cambria" w:cs="Cambria"/>
              </w:rPr>
              <w:t>3</w:t>
            </w:r>
          </w:p>
        </w:tc>
      </w:tr>
      <w:tr w:rsidR="009654E2" w:rsidRPr="004715B5" w14:paraId="16FEF9EE" w14:textId="77777777" w:rsidTr="003E41FC">
        <w:trPr>
          <w:trHeight w:val="60"/>
        </w:trPr>
        <w:tc>
          <w:tcPr>
            <w:tcW w:w="572"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6FEF9EB" w14:textId="77777777" w:rsidR="009654E2" w:rsidRPr="004715B5" w:rsidRDefault="009654E2" w:rsidP="003E41FC">
            <w:pPr>
              <w:rPr>
                <w:rFonts w:ascii="Cambria" w:eastAsia="Calibri" w:hAnsi="Cambria"/>
                <w:lang w:eastAsia="lt-LT"/>
              </w:rPr>
            </w:pP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C" w14:textId="77777777" w:rsidR="009654E2" w:rsidRPr="004715B5" w:rsidRDefault="009654E2" w:rsidP="003E41FC">
            <w:pPr>
              <w:numPr>
                <w:ilvl w:val="8"/>
                <w:numId w:val="1"/>
              </w:numPr>
              <w:tabs>
                <w:tab w:val="clear" w:pos="360"/>
                <w:tab w:val="num" w:pos="0"/>
              </w:tabs>
              <w:rPr>
                <w:rFonts w:ascii="Cambria" w:eastAsia="Calibri" w:hAnsi="Cambria"/>
                <w:lang w:eastAsia="lt-LT"/>
              </w:rPr>
            </w:pPr>
            <w:r w:rsidRPr="004715B5">
              <w:rPr>
                <w:rFonts w:ascii="Cambria" w:eastAsia="Calibri" w:hAnsi="Cambria"/>
                <w:lang w:eastAsia="lt-LT"/>
              </w:rPr>
              <w:t>Total:</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9ED" w14:textId="77777777" w:rsidR="009654E2" w:rsidRDefault="009654E2" w:rsidP="00331CAD">
            <w:pPr>
              <w:jc w:val="center"/>
              <w:rPr>
                <w:rFonts w:ascii="Cambria" w:eastAsia="Cambria" w:hAnsi="Cambria" w:cs="Cambria"/>
              </w:rPr>
            </w:pPr>
            <w:r>
              <w:rPr>
                <w:rFonts w:ascii="Cambria" w:eastAsia="Cambria" w:hAnsi="Cambria" w:cs="Cambria"/>
              </w:rPr>
              <w:t>24</w:t>
            </w:r>
          </w:p>
        </w:tc>
      </w:tr>
    </w:tbl>
    <w:p w14:paraId="16FEF9EF"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*1 (unsatisfactory) - there are essential shortcomings that must be eliminated;</w:t>
      </w:r>
    </w:p>
    <w:p w14:paraId="16FEF9F0"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2 (satisfactory) - meets the established minimum requirements, needs improvement;</w:t>
      </w:r>
    </w:p>
    <w:p w14:paraId="16FEF9F1"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3 (good) - the field develops systematically, has distinctive features;</w:t>
      </w:r>
    </w:p>
    <w:p w14:paraId="16FEF9F2"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4 (very good) - the field is evaluated very well in the national and international context, without any deficiencies;</w:t>
      </w:r>
    </w:p>
    <w:p w14:paraId="16FEF9F3" w14:textId="77777777" w:rsidR="004C026D" w:rsidRPr="004715B5" w:rsidRDefault="004C026D" w:rsidP="004C026D">
      <w:pPr>
        <w:rPr>
          <w:rFonts w:ascii="Cambria" w:eastAsia="Calibri" w:hAnsi="Cambria"/>
          <w:sz w:val="20"/>
          <w:szCs w:val="20"/>
          <w:lang w:eastAsia="lt-LT"/>
        </w:rPr>
      </w:pPr>
      <w:r w:rsidRPr="004715B5">
        <w:rPr>
          <w:rFonts w:ascii="Cambria" w:eastAsia="Calibri" w:hAnsi="Cambria"/>
          <w:sz w:val="20"/>
          <w:szCs w:val="20"/>
          <w:lang w:eastAsia="lt-LT"/>
        </w:rPr>
        <w:t>5 (exceptional) - the field is exceptionally good in the national and international context/environment.</w:t>
      </w:r>
    </w:p>
    <w:p w14:paraId="16FEF9F4" w14:textId="77777777" w:rsidR="004C026D" w:rsidRDefault="004C026D" w:rsidP="004C026D">
      <w:pPr>
        <w:rPr>
          <w:rFonts w:ascii="Cambria" w:eastAsia="Calibri" w:hAnsi="Cambria"/>
          <w:lang w:eastAsia="lt-LT"/>
        </w:rPr>
      </w:pPr>
    </w:p>
    <w:p w14:paraId="16FEF9F5" w14:textId="77777777" w:rsidR="004C026D" w:rsidRPr="00C3031B" w:rsidRDefault="004C026D" w:rsidP="004C026D">
      <w:pPr>
        <w:rPr>
          <w:rFonts w:ascii="Cambria" w:eastAsia="Calibri" w:hAnsi="Cambria"/>
          <w:lang w:eastAsia="lt-LT"/>
        </w:rPr>
        <w:sectPr w:rsidR="004C026D" w:rsidRPr="00C3031B">
          <w:pgSz w:w="11906" w:h="16838"/>
          <w:pgMar w:top="1701" w:right="567" w:bottom="1134" w:left="1701" w:header="567" w:footer="567" w:gutter="0"/>
          <w:cols w:space="1296"/>
          <w:docGrid w:linePitch="360"/>
        </w:sectPr>
      </w:pPr>
      <w:r>
        <w:rPr>
          <w:rFonts w:ascii="Cambria" w:eastAsia="Calibri" w:hAnsi="Cambria"/>
          <w:lang w:eastAsia="lt-LT"/>
        </w:rPr>
        <w:t>&lt;…&gt;</w:t>
      </w:r>
    </w:p>
    <w:p w14:paraId="16FEF9F6" w14:textId="77777777" w:rsidR="006C54F0" w:rsidRPr="006C54F0" w:rsidRDefault="006C54F0" w:rsidP="004E20CB">
      <w:pPr>
        <w:keepNext/>
        <w:keepLines/>
        <w:tabs>
          <w:tab w:val="left" w:pos="680"/>
          <w:tab w:val="left" w:pos="1701"/>
        </w:tabs>
        <w:spacing w:before="240" w:after="240"/>
        <w:ind w:left="360"/>
        <w:jc w:val="center"/>
        <w:outlineLvl w:val="1"/>
        <w:rPr>
          <w:rFonts w:ascii="Cambria" w:hAnsi="Cambria"/>
          <w:b/>
          <w:bCs/>
          <w:caps/>
          <w:color w:val="136C73"/>
          <w:sz w:val="36"/>
          <w:szCs w:val="26"/>
          <w:lang w:eastAsia="lt-LT"/>
        </w:rPr>
      </w:pPr>
      <w:bookmarkStart w:id="2" w:name="_Toc57129361"/>
      <w:r w:rsidRPr="006C54F0">
        <w:rPr>
          <w:rFonts w:ascii="Cambria" w:hAnsi="Cambria"/>
          <w:b/>
          <w:bCs/>
          <w:caps/>
          <w:color w:val="136C73"/>
          <w:sz w:val="36"/>
          <w:szCs w:val="26"/>
          <w:lang w:eastAsia="lt-LT"/>
        </w:rPr>
        <w:lastRenderedPageBreak/>
        <w:t>IV. EXAMPLES OF EXCELLENCE</w:t>
      </w:r>
    </w:p>
    <w:p w14:paraId="16FEF9F7" w14:textId="77777777" w:rsidR="006C54F0" w:rsidRDefault="006C54F0" w:rsidP="006C54F0">
      <w:pPr>
        <w:tabs>
          <w:tab w:val="left" w:pos="1298"/>
          <w:tab w:val="left" w:pos="1985"/>
        </w:tabs>
        <w:ind w:left="720"/>
        <w:jc w:val="both"/>
        <w:rPr>
          <w:rFonts w:ascii="Cambria" w:eastAsia="Cambria" w:hAnsi="Cambria" w:cs="Cambria"/>
          <w:i/>
        </w:rPr>
      </w:pPr>
    </w:p>
    <w:p w14:paraId="16FEF9F8" w14:textId="77777777" w:rsidR="009654E2" w:rsidRPr="009654E2" w:rsidRDefault="009654E2" w:rsidP="009654E2">
      <w:pPr>
        <w:jc w:val="both"/>
        <w:rPr>
          <w:rFonts w:asciiTheme="majorHAnsi" w:hAnsiTheme="majorHAnsi"/>
        </w:rPr>
      </w:pPr>
      <w:r w:rsidRPr="009654E2">
        <w:rPr>
          <w:rFonts w:asciiTheme="majorHAnsi" w:hAnsiTheme="majorHAnsi"/>
        </w:rPr>
        <w:t xml:space="preserve">The programmes of study field have strong international collaborations and links. </w:t>
      </w:r>
    </w:p>
    <w:p w14:paraId="16FEF9F9" w14:textId="77777777" w:rsidR="009654E2" w:rsidRPr="009654E2" w:rsidRDefault="009654E2" w:rsidP="009654E2">
      <w:pPr>
        <w:jc w:val="both"/>
        <w:rPr>
          <w:rFonts w:asciiTheme="majorHAnsi" w:hAnsiTheme="majorHAnsi"/>
        </w:rPr>
      </w:pPr>
      <w:r w:rsidRPr="009654E2">
        <w:rPr>
          <w:rFonts w:asciiTheme="majorHAnsi" w:hAnsiTheme="majorHAnsi"/>
        </w:rPr>
        <w:t>Lecturers are provided with good opportunities for personal development including international engagements.</w:t>
      </w:r>
    </w:p>
    <w:p w14:paraId="16FEF9FA" w14:textId="77777777" w:rsidR="009654E2" w:rsidRPr="009654E2" w:rsidRDefault="009654E2" w:rsidP="009654E2">
      <w:pPr>
        <w:jc w:val="both"/>
        <w:rPr>
          <w:rFonts w:asciiTheme="majorHAnsi" w:hAnsiTheme="majorHAnsi"/>
        </w:rPr>
      </w:pPr>
      <w:r w:rsidRPr="009654E2">
        <w:rPr>
          <w:rFonts w:asciiTheme="majorHAnsi" w:hAnsiTheme="majorHAnsi"/>
        </w:rPr>
        <w:t xml:space="preserve">Staff </w:t>
      </w:r>
      <w:proofErr w:type="gramStart"/>
      <w:r w:rsidRPr="009654E2">
        <w:rPr>
          <w:rFonts w:asciiTheme="majorHAnsi" w:hAnsiTheme="majorHAnsi"/>
        </w:rPr>
        <w:t>are provided</w:t>
      </w:r>
      <w:proofErr w:type="gramEnd"/>
      <w:r w:rsidRPr="009654E2">
        <w:rPr>
          <w:rFonts w:asciiTheme="majorHAnsi" w:hAnsiTheme="majorHAnsi"/>
        </w:rPr>
        <w:t xml:space="preserve"> with financial incentives and support to undertake research. </w:t>
      </w:r>
    </w:p>
    <w:p w14:paraId="16FEF9FB" w14:textId="77777777" w:rsidR="009654E2" w:rsidRPr="009654E2" w:rsidRDefault="009654E2" w:rsidP="009654E2">
      <w:pPr>
        <w:jc w:val="both"/>
        <w:rPr>
          <w:rFonts w:asciiTheme="majorHAnsi" w:hAnsiTheme="majorHAnsi"/>
        </w:rPr>
      </w:pPr>
      <w:r w:rsidRPr="009654E2">
        <w:rPr>
          <w:rFonts w:asciiTheme="majorHAnsi" w:hAnsiTheme="majorHAnsi"/>
        </w:rPr>
        <w:t>A unique programme in the country for this kind of study.</w:t>
      </w:r>
    </w:p>
    <w:p w14:paraId="16FEF9FC" w14:textId="77777777" w:rsidR="009654E2" w:rsidRPr="009654E2" w:rsidRDefault="009654E2" w:rsidP="009654E2">
      <w:pPr>
        <w:jc w:val="both"/>
        <w:rPr>
          <w:rFonts w:asciiTheme="majorHAnsi" w:hAnsiTheme="majorHAnsi"/>
          <w:iCs/>
        </w:rPr>
      </w:pPr>
      <w:r w:rsidRPr="009654E2">
        <w:rPr>
          <w:rFonts w:asciiTheme="majorHAnsi" w:hAnsiTheme="majorHAnsi"/>
          <w:iCs/>
        </w:rPr>
        <w:t>Strong position in academic mobility of bachelor’s students, outstanding results in attracting part-time students from abroad.</w:t>
      </w:r>
    </w:p>
    <w:p w14:paraId="16FEF9FD" w14:textId="77777777" w:rsidR="009654E2" w:rsidRPr="009654E2" w:rsidRDefault="009654E2" w:rsidP="009654E2">
      <w:pPr>
        <w:jc w:val="both"/>
        <w:rPr>
          <w:rFonts w:asciiTheme="majorHAnsi" w:hAnsiTheme="majorHAnsi"/>
        </w:rPr>
      </w:pPr>
      <w:r w:rsidRPr="009654E2">
        <w:rPr>
          <w:rFonts w:asciiTheme="majorHAnsi" w:hAnsiTheme="majorHAnsi"/>
          <w:iCs/>
        </w:rPr>
        <w:t>The university provides a clear path and process for the development of early career academic staff.</w:t>
      </w:r>
    </w:p>
    <w:p w14:paraId="16FEF9FE" w14:textId="77777777" w:rsidR="006C54F0" w:rsidRPr="006C54F0" w:rsidRDefault="006C54F0" w:rsidP="006C54F0">
      <w:pPr>
        <w:rPr>
          <w:rFonts w:asciiTheme="majorHAnsi" w:hAnsiTheme="majorHAnsi"/>
        </w:rPr>
      </w:pPr>
      <w:r w:rsidRPr="006C54F0">
        <w:rPr>
          <w:rFonts w:asciiTheme="majorHAnsi" w:hAnsiTheme="majorHAnsi"/>
        </w:rPr>
        <w:t xml:space="preserve"> </w:t>
      </w:r>
    </w:p>
    <w:p w14:paraId="16FEF9FF" w14:textId="77777777" w:rsidR="009654E2" w:rsidRDefault="009654E2" w:rsidP="009654E2">
      <w:pPr>
        <w:keepNext/>
        <w:keepLines/>
        <w:tabs>
          <w:tab w:val="left" w:pos="680"/>
        </w:tabs>
        <w:spacing w:before="240" w:after="240"/>
        <w:outlineLvl w:val="1"/>
        <w:rPr>
          <w:rFonts w:ascii="Cambria" w:hAnsi="Cambria"/>
          <w:b/>
          <w:bCs/>
          <w:caps/>
          <w:color w:val="136C73"/>
          <w:sz w:val="36"/>
          <w:szCs w:val="26"/>
          <w:lang w:eastAsia="lt-LT"/>
        </w:rPr>
      </w:pPr>
    </w:p>
    <w:p w14:paraId="16FEFA00" w14:textId="77777777" w:rsidR="004C026D" w:rsidRPr="006C54F0" w:rsidRDefault="004C026D" w:rsidP="006C54F0">
      <w:pPr>
        <w:keepNext/>
        <w:keepLines/>
        <w:tabs>
          <w:tab w:val="left" w:pos="680"/>
        </w:tabs>
        <w:spacing w:before="240" w:after="240"/>
        <w:ind w:left="360"/>
        <w:jc w:val="center"/>
        <w:outlineLvl w:val="1"/>
        <w:rPr>
          <w:rFonts w:ascii="Cambria" w:hAnsi="Cambria"/>
          <w:b/>
          <w:bCs/>
          <w:caps/>
          <w:color w:val="136C73"/>
          <w:sz w:val="36"/>
          <w:szCs w:val="26"/>
          <w:lang w:eastAsia="lt-LT"/>
        </w:rPr>
      </w:pPr>
      <w:r w:rsidRPr="00677F9A">
        <w:rPr>
          <w:rFonts w:ascii="Cambria" w:hAnsi="Cambria"/>
          <w:b/>
          <w:bCs/>
          <w:caps/>
          <w:color w:val="136C73"/>
          <w:sz w:val="36"/>
          <w:szCs w:val="26"/>
          <w:lang w:eastAsia="lt-LT"/>
        </w:rPr>
        <w:t>v. RECOMMENDATIONS</w:t>
      </w:r>
      <w:bookmarkEnd w:id="2"/>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6C54F0" w:rsidRPr="006C54F0" w14:paraId="16FEFA03" w14:textId="77777777" w:rsidTr="00AD1163">
        <w:trPr>
          <w:trHeight w:val="654"/>
        </w:trPr>
        <w:tc>
          <w:tcPr>
            <w:tcW w:w="2660" w:type="dxa"/>
            <w:tcBorders>
              <w:bottom w:val="single" w:sz="4" w:space="0" w:color="000000"/>
            </w:tcBorders>
            <w:shd w:val="clear" w:color="auto" w:fill="EEECE1"/>
            <w:vAlign w:val="center"/>
          </w:tcPr>
          <w:p w14:paraId="16FEFA01" w14:textId="77777777" w:rsidR="006C54F0" w:rsidRPr="006C54F0" w:rsidRDefault="006C54F0" w:rsidP="006C54F0">
            <w:pPr>
              <w:jc w:val="center"/>
              <w:rPr>
                <w:rFonts w:ascii="Cambria" w:eastAsia="Cambria" w:hAnsi="Cambria" w:cs="Cambria"/>
                <w:b/>
                <w:color w:val="136C73"/>
                <w:lang w:eastAsia="en-GB"/>
              </w:rPr>
            </w:pPr>
            <w:r w:rsidRPr="006C54F0">
              <w:rPr>
                <w:rFonts w:ascii="Cambria" w:eastAsia="Cambria" w:hAnsi="Cambria" w:cs="Cambria"/>
                <w:b/>
                <w:color w:val="136C73"/>
                <w:lang w:eastAsia="en-GB"/>
              </w:rPr>
              <w:t>Evaluation Area</w:t>
            </w:r>
          </w:p>
        </w:tc>
        <w:tc>
          <w:tcPr>
            <w:tcW w:w="7194" w:type="dxa"/>
            <w:shd w:val="clear" w:color="auto" w:fill="EEECE1"/>
            <w:vAlign w:val="center"/>
          </w:tcPr>
          <w:p w14:paraId="16FEFA02" w14:textId="77777777" w:rsidR="006C54F0" w:rsidRPr="006C54F0" w:rsidRDefault="006C54F0" w:rsidP="006C54F0">
            <w:pPr>
              <w:jc w:val="center"/>
              <w:rPr>
                <w:rFonts w:ascii="Cambria" w:eastAsia="Cambria" w:hAnsi="Cambria" w:cs="Cambria"/>
                <w:b/>
                <w:color w:val="136C73"/>
                <w:lang w:eastAsia="en-GB"/>
              </w:rPr>
            </w:pPr>
            <w:r w:rsidRPr="006C54F0">
              <w:rPr>
                <w:rFonts w:ascii="Cambria" w:eastAsia="Cambria" w:hAnsi="Cambria" w:cs="Cambria"/>
                <w:b/>
                <w:color w:val="136C73"/>
                <w:lang w:eastAsia="en-GB"/>
              </w:rPr>
              <w:t>Recommendations for the Evaluation Area (study cycle)</w:t>
            </w:r>
          </w:p>
        </w:tc>
      </w:tr>
      <w:tr w:rsidR="009654E2" w:rsidRPr="006C54F0" w14:paraId="16FEFA0A" w14:textId="77777777" w:rsidTr="00AD1163">
        <w:trPr>
          <w:trHeight w:val="1134"/>
        </w:trPr>
        <w:tc>
          <w:tcPr>
            <w:tcW w:w="2660" w:type="dxa"/>
            <w:shd w:val="clear" w:color="auto" w:fill="EEECE1"/>
            <w:vAlign w:val="center"/>
          </w:tcPr>
          <w:p w14:paraId="16FEFA04"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t>Intended and achieved learning outcomes and curriculum</w:t>
            </w:r>
          </w:p>
        </w:tc>
        <w:tc>
          <w:tcPr>
            <w:tcW w:w="7194" w:type="dxa"/>
            <w:vAlign w:val="center"/>
          </w:tcPr>
          <w:p w14:paraId="16FEFA05" w14:textId="77777777" w:rsidR="009654E2" w:rsidRDefault="009654E2" w:rsidP="00331CAD">
            <w:pPr>
              <w:rPr>
                <w:rFonts w:ascii="Cambria" w:eastAsia="Cambria" w:hAnsi="Cambria" w:cs="Cambria"/>
              </w:rPr>
            </w:pPr>
            <w:r>
              <w:rPr>
                <w:rFonts w:ascii="Cambria" w:eastAsia="Cambria" w:hAnsi="Cambria" w:cs="Cambria"/>
              </w:rPr>
              <w:t xml:space="preserve">The overall aims and objectives of the study fields are providing </w:t>
            </w:r>
            <w:r w:rsidRPr="00875E3F">
              <w:rPr>
                <w:rFonts w:ascii="Cambria" w:eastAsia="Cambria" w:hAnsi="Cambria" w:cs="Cambria"/>
              </w:rPr>
              <w:t xml:space="preserve">knowledge in </w:t>
            </w:r>
            <w:r>
              <w:rPr>
                <w:rFonts w:ascii="Cambria" w:eastAsia="Cambria" w:hAnsi="Cambria" w:cs="Cambria"/>
              </w:rPr>
              <w:t>Energy Engineering, specifically in relation to building energetics, it would be useful to provide for the institution to further emphasise the uniqueness of these programmes in the country.</w:t>
            </w:r>
          </w:p>
          <w:p w14:paraId="16FEFA06" w14:textId="77777777" w:rsidR="009654E2" w:rsidRDefault="009654E2" w:rsidP="00331CAD">
            <w:pPr>
              <w:rPr>
                <w:rFonts w:ascii="Cambria" w:eastAsia="Cambria" w:hAnsi="Cambria" w:cs="Cambria"/>
              </w:rPr>
            </w:pPr>
          </w:p>
          <w:p w14:paraId="16FEFA07" w14:textId="77777777" w:rsidR="009654E2" w:rsidRDefault="009654E2" w:rsidP="00331CAD">
            <w:pPr>
              <w:rPr>
                <w:rFonts w:ascii="Cambria" w:eastAsia="Cambria" w:hAnsi="Cambria" w:cs="Cambria"/>
              </w:rPr>
            </w:pPr>
            <w:r>
              <w:rPr>
                <w:rFonts w:ascii="Cambria" w:eastAsia="Cambria" w:hAnsi="Cambria" w:cs="Cambria"/>
              </w:rPr>
              <w:t>The institution is encouraged to accelerate the pace of keeping the</w:t>
            </w:r>
            <w:r w:rsidRPr="003C5F20">
              <w:rPr>
                <w:rFonts w:ascii="Cambria" w:eastAsia="Cambria" w:hAnsi="Cambria" w:cs="Cambria"/>
              </w:rPr>
              <w:t xml:space="preserve"> all the programme subjects’ descriptions up-to-date, particularly from the wider body of recent research as opposed to teachers’ research projects only</w:t>
            </w:r>
            <w:r>
              <w:rPr>
                <w:rFonts w:ascii="Cambria" w:eastAsia="Cambria" w:hAnsi="Cambria" w:cs="Cambria"/>
              </w:rPr>
              <w:t>, to widen students’ perspective, in the light of the fast changing energy market.</w:t>
            </w:r>
          </w:p>
          <w:p w14:paraId="16FEFA08" w14:textId="77777777" w:rsidR="009654E2" w:rsidRDefault="009654E2" w:rsidP="00331CAD">
            <w:pPr>
              <w:rPr>
                <w:rFonts w:ascii="Cambria" w:eastAsia="Cambria" w:hAnsi="Cambria" w:cs="Cambria"/>
              </w:rPr>
            </w:pPr>
          </w:p>
          <w:p w14:paraId="16FEFA09" w14:textId="77777777" w:rsidR="009654E2" w:rsidRDefault="009654E2" w:rsidP="00331CAD">
            <w:pPr>
              <w:rPr>
                <w:rFonts w:ascii="Cambria" w:eastAsia="Cambria" w:hAnsi="Cambria" w:cs="Cambria"/>
              </w:rPr>
            </w:pPr>
            <w:r>
              <w:rPr>
                <w:rFonts w:ascii="Cambria" w:eastAsia="Cambria" w:hAnsi="Cambria" w:cs="Cambria"/>
              </w:rPr>
              <w:t>More effort should be paid to promote the programmes among potential students to reverse the decline in recruitment</w:t>
            </w:r>
          </w:p>
        </w:tc>
      </w:tr>
      <w:tr w:rsidR="009654E2" w:rsidRPr="006C54F0" w14:paraId="16FEFA0F" w14:textId="77777777" w:rsidTr="00AD1163">
        <w:trPr>
          <w:trHeight w:val="1134"/>
        </w:trPr>
        <w:tc>
          <w:tcPr>
            <w:tcW w:w="2660" w:type="dxa"/>
            <w:shd w:val="clear" w:color="auto" w:fill="EEECE1"/>
            <w:vAlign w:val="center"/>
          </w:tcPr>
          <w:p w14:paraId="16FEFA0B"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t>Links between science (art) and studies</w:t>
            </w:r>
          </w:p>
        </w:tc>
        <w:tc>
          <w:tcPr>
            <w:tcW w:w="7194" w:type="dxa"/>
            <w:vAlign w:val="center"/>
          </w:tcPr>
          <w:p w14:paraId="16FEFA0C" w14:textId="77777777" w:rsidR="009654E2" w:rsidRDefault="009654E2" w:rsidP="00331CAD">
            <w:pPr>
              <w:rPr>
                <w:rFonts w:ascii="Cambria" w:eastAsia="Cambria" w:hAnsi="Cambria" w:cs="Cambria"/>
              </w:rPr>
            </w:pPr>
            <w:r>
              <w:rPr>
                <w:rFonts w:ascii="Cambria" w:eastAsia="Cambria" w:hAnsi="Cambria" w:cs="Cambria"/>
              </w:rPr>
              <w:t>A more systematic approach is required for collaboration with social partners in research projects.</w:t>
            </w:r>
          </w:p>
          <w:p w14:paraId="16FEFA0D" w14:textId="77777777" w:rsidR="009654E2" w:rsidRDefault="009654E2" w:rsidP="00331CAD">
            <w:pPr>
              <w:rPr>
                <w:rFonts w:ascii="Cambria" w:eastAsia="Cambria" w:hAnsi="Cambria" w:cs="Cambria"/>
              </w:rPr>
            </w:pPr>
          </w:p>
          <w:p w14:paraId="16FEFA0E" w14:textId="77777777" w:rsidR="009654E2" w:rsidRDefault="009654E2" w:rsidP="00331CAD">
            <w:pPr>
              <w:rPr>
                <w:rFonts w:ascii="Cambria" w:eastAsia="Cambria" w:hAnsi="Cambria" w:cs="Cambria"/>
              </w:rPr>
            </w:pPr>
            <w:r>
              <w:rPr>
                <w:rFonts w:ascii="Cambria" w:eastAsia="Cambria" w:hAnsi="Cambria" w:cs="Cambria"/>
              </w:rPr>
              <w:t>A more regular and organised involvement of social partners in improving study programmes needs to be implemented</w:t>
            </w:r>
          </w:p>
        </w:tc>
      </w:tr>
      <w:tr w:rsidR="009654E2" w:rsidRPr="006C54F0" w14:paraId="16FEFA14" w14:textId="77777777" w:rsidTr="00AD1163">
        <w:trPr>
          <w:trHeight w:val="1134"/>
        </w:trPr>
        <w:tc>
          <w:tcPr>
            <w:tcW w:w="2660" w:type="dxa"/>
            <w:shd w:val="clear" w:color="auto" w:fill="EEECE1"/>
            <w:vAlign w:val="center"/>
          </w:tcPr>
          <w:p w14:paraId="16FEFA10"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t>Student admission and support</w:t>
            </w:r>
          </w:p>
        </w:tc>
        <w:tc>
          <w:tcPr>
            <w:tcW w:w="7194" w:type="dxa"/>
            <w:vAlign w:val="center"/>
          </w:tcPr>
          <w:p w14:paraId="16FEFA11" w14:textId="77777777" w:rsidR="009654E2" w:rsidRDefault="009654E2" w:rsidP="00331CAD">
            <w:pPr>
              <w:rPr>
                <w:rFonts w:ascii="Cambria" w:eastAsia="Cambria" w:hAnsi="Cambria" w:cs="Cambria"/>
              </w:rPr>
            </w:pPr>
            <w:r>
              <w:rPr>
                <w:rFonts w:ascii="Cambria" w:eastAsia="Cambria" w:hAnsi="Cambria" w:cs="Cambria"/>
              </w:rPr>
              <w:t>The declining student recruitment is of concern at least in the short term and requires a specific action plan, beyond the current practice of providing presentations to school children.</w:t>
            </w:r>
          </w:p>
          <w:p w14:paraId="16FEFA12" w14:textId="77777777" w:rsidR="009654E2" w:rsidRDefault="009654E2" w:rsidP="00331CAD">
            <w:pPr>
              <w:rPr>
                <w:rFonts w:ascii="Cambria" w:eastAsia="Cambria" w:hAnsi="Cambria" w:cs="Cambria"/>
              </w:rPr>
            </w:pPr>
          </w:p>
          <w:p w14:paraId="16FEFA13" w14:textId="77777777" w:rsidR="009654E2" w:rsidRDefault="009654E2" w:rsidP="00331CAD">
            <w:pPr>
              <w:rPr>
                <w:rFonts w:ascii="Cambria" w:eastAsia="Cambria" w:hAnsi="Cambria" w:cs="Cambria"/>
              </w:rPr>
            </w:pPr>
            <w:r>
              <w:rPr>
                <w:rFonts w:ascii="Cambria" w:eastAsia="Cambria" w:hAnsi="Cambria" w:cs="Cambria"/>
              </w:rPr>
              <w:t>The university should review claims by students on academic misconduct and, if found necessary, provide an action plan to crack down on student’s plagiarism and collusion during assessments.</w:t>
            </w:r>
          </w:p>
        </w:tc>
      </w:tr>
      <w:tr w:rsidR="009654E2" w:rsidRPr="006C54F0" w14:paraId="16FEFA18" w14:textId="77777777" w:rsidTr="00AD1163">
        <w:trPr>
          <w:trHeight w:val="1134"/>
        </w:trPr>
        <w:tc>
          <w:tcPr>
            <w:tcW w:w="2660" w:type="dxa"/>
            <w:shd w:val="clear" w:color="auto" w:fill="EEECE1"/>
            <w:vAlign w:val="center"/>
          </w:tcPr>
          <w:p w14:paraId="16FEFA15"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lastRenderedPageBreak/>
              <w:t>Teaching and learning, student performance and graduate employment</w:t>
            </w:r>
          </w:p>
        </w:tc>
        <w:tc>
          <w:tcPr>
            <w:tcW w:w="7194" w:type="dxa"/>
            <w:vAlign w:val="center"/>
          </w:tcPr>
          <w:p w14:paraId="16FEFA16" w14:textId="77777777" w:rsidR="009654E2" w:rsidRPr="008519D2" w:rsidRDefault="009654E2" w:rsidP="00331CAD">
            <w:pPr>
              <w:spacing w:after="120"/>
              <w:jc w:val="both"/>
              <w:rPr>
                <w:rFonts w:ascii="Cambria" w:eastAsia="Cambria" w:hAnsi="Cambria" w:cs="Cambria"/>
              </w:rPr>
            </w:pPr>
            <w:r w:rsidRPr="008519D2">
              <w:rPr>
                <w:rFonts w:ascii="Cambria" w:eastAsia="Cambria" w:hAnsi="Cambria" w:cs="Cambria"/>
              </w:rPr>
              <w:t xml:space="preserve">It is recommended that a clear and consistent process is set up to give </w:t>
            </w:r>
            <w:proofErr w:type="gramStart"/>
            <w:r w:rsidRPr="008519D2">
              <w:rPr>
                <w:rFonts w:ascii="Cambria" w:eastAsia="Cambria" w:hAnsi="Cambria" w:cs="Cambria"/>
              </w:rPr>
              <w:t>students</w:t>
            </w:r>
            <w:proofErr w:type="gramEnd"/>
            <w:r w:rsidRPr="008519D2">
              <w:rPr>
                <w:rFonts w:ascii="Cambria" w:eastAsia="Cambria" w:hAnsi="Cambria" w:cs="Cambria"/>
              </w:rPr>
              <w:t xml:space="preserve"> feedback on their work and assessment results and to provide better information to students at the start of the semester. </w:t>
            </w:r>
          </w:p>
          <w:p w14:paraId="16FEFA17" w14:textId="77777777" w:rsidR="009654E2" w:rsidRDefault="009654E2" w:rsidP="00331CAD">
            <w:pPr>
              <w:rPr>
                <w:rFonts w:ascii="Cambria" w:eastAsia="Cambria" w:hAnsi="Cambria" w:cs="Cambria"/>
              </w:rPr>
            </w:pPr>
          </w:p>
        </w:tc>
      </w:tr>
      <w:tr w:rsidR="009654E2" w:rsidRPr="006C54F0" w14:paraId="16FEFA1B" w14:textId="77777777" w:rsidTr="00AD1163">
        <w:trPr>
          <w:trHeight w:val="1134"/>
        </w:trPr>
        <w:tc>
          <w:tcPr>
            <w:tcW w:w="2660" w:type="dxa"/>
            <w:shd w:val="clear" w:color="auto" w:fill="EEECE1"/>
            <w:vAlign w:val="center"/>
          </w:tcPr>
          <w:p w14:paraId="16FEFA19"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t>Teaching staff</w:t>
            </w:r>
          </w:p>
        </w:tc>
        <w:tc>
          <w:tcPr>
            <w:tcW w:w="7194" w:type="dxa"/>
            <w:vAlign w:val="center"/>
          </w:tcPr>
          <w:p w14:paraId="16FEFA1A" w14:textId="77777777" w:rsidR="009654E2" w:rsidRDefault="009654E2" w:rsidP="00331CAD">
            <w:pPr>
              <w:rPr>
                <w:rFonts w:ascii="Cambria" w:eastAsia="Cambria" w:hAnsi="Cambria" w:cs="Cambria"/>
              </w:rPr>
            </w:pPr>
            <w:r>
              <w:rPr>
                <w:rFonts w:ascii="Cambria" w:eastAsia="Cambria" w:hAnsi="Cambria" w:cs="Cambria"/>
              </w:rPr>
              <w:t>Improvements are required for mobility of staff teaching at the second cycle level.</w:t>
            </w:r>
          </w:p>
        </w:tc>
      </w:tr>
      <w:tr w:rsidR="009654E2" w:rsidRPr="006C54F0" w14:paraId="16FEFA20" w14:textId="77777777" w:rsidTr="00AD1163">
        <w:trPr>
          <w:trHeight w:val="1134"/>
        </w:trPr>
        <w:tc>
          <w:tcPr>
            <w:tcW w:w="2660" w:type="dxa"/>
            <w:shd w:val="clear" w:color="auto" w:fill="EEECE1"/>
            <w:vAlign w:val="center"/>
          </w:tcPr>
          <w:p w14:paraId="16FEFA1C"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t>Learning facilities and resources</w:t>
            </w:r>
          </w:p>
        </w:tc>
        <w:tc>
          <w:tcPr>
            <w:tcW w:w="7194" w:type="dxa"/>
            <w:vAlign w:val="center"/>
          </w:tcPr>
          <w:p w14:paraId="16FEFA1D" w14:textId="77777777" w:rsidR="009654E2" w:rsidRDefault="009654E2" w:rsidP="00331CAD">
            <w:pPr>
              <w:rPr>
                <w:rFonts w:ascii="Cambria" w:eastAsia="Cambria" w:hAnsi="Cambria" w:cs="Cambria"/>
              </w:rPr>
            </w:pPr>
            <w:r>
              <w:rPr>
                <w:rFonts w:ascii="Cambria" w:eastAsia="Cambria" w:hAnsi="Cambria" w:cs="Cambria"/>
              </w:rPr>
              <w:t xml:space="preserve">The university should provide more funding to develop and maintain laboratory equipment which currently relies mostly on research projects funds. </w:t>
            </w:r>
          </w:p>
          <w:p w14:paraId="16FEFA1E" w14:textId="77777777" w:rsidR="009654E2" w:rsidRDefault="009654E2" w:rsidP="00331CAD">
            <w:pPr>
              <w:rPr>
                <w:rFonts w:ascii="Cambria" w:eastAsia="Cambria" w:hAnsi="Cambria" w:cs="Cambria"/>
              </w:rPr>
            </w:pPr>
          </w:p>
          <w:p w14:paraId="16FEFA1F" w14:textId="77777777" w:rsidR="009654E2" w:rsidRDefault="009654E2" w:rsidP="00331CAD">
            <w:pPr>
              <w:rPr>
                <w:rFonts w:ascii="Cambria" w:eastAsia="Cambria" w:hAnsi="Cambria" w:cs="Cambria"/>
              </w:rPr>
            </w:pPr>
            <w:r>
              <w:rPr>
                <w:rFonts w:ascii="Cambria" w:eastAsia="Cambria" w:hAnsi="Cambria" w:cs="Cambria"/>
              </w:rPr>
              <w:t>There is a need to have a plan to continuously modernise and update computers used by students</w:t>
            </w:r>
          </w:p>
        </w:tc>
      </w:tr>
      <w:tr w:rsidR="009654E2" w:rsidRPr="006C54F0" w14:paraId="16FEFA23" w14:textId="77777777" w:rsidTr="00AD1163">
        <w:trPr>
          <w:trHeight w:val="1134"/>
        </w:trPr>
        <w:tc>
          <w:tcPr>
            <w:tcW w:w="2660" w:type="dxa"/>
            <w:shd w:val="clear" w:color="auto" w:fill="EEECE1"/>
            <w:vAlign w:val="center"/>
          </w:tcPr>
          <w:p w14:paraId="16FEFA21" w14:textId="77777777" w:rsidR="009654E2" w:rsidRPr="006C54F0" w:rsidRDefault="009654E2" w:rsidP="006C54F0">
            <w:pPr>
              <w:rPr>
                <w:rFonts w:ascii="Cambria" w:eastAsia="Cambria" w:hAnsi="Cambria" w:cs="Cambria"/>
                <w:color w:val="136C73"/>
                <w:lang w:eastAsia="en-GB"/>
              </w:rPr>
            </w:pPr>
            <w:r w:rsidRPr="006C54F0">
              <w:rPr>
                <w:rFonts w:ascii="Cambria" w:eastAsia="Cambria" w:hAnsi="Cambria" w:cs="Cambria"/>
                <w:color w:val="136C73"/>
                <w:lang w:eastAsia="en-GB"/>
              </w:rPr>
              <w:t>Study quality management and public information</w:t>
            </w:r>
          </w:p>
        </w:tc>
        <w:tc>
          <w:tcPr>
            <w:tcW w:w="7194" w:type="dxa"/>
            <w:vAlign w:val="center"/>
          </w:tcPr>
          <w:p w14:paraId="16FEFA22" w14:textId="77777777" w:rsidR="009654E2" w:rsidRDefault="009654E2" w:rsidP="00331CAD">
            <w:pPr>
              <w:rPr>
                <w:rFonts w:ascii="Cambria" w:eastAsia="Cambria" w:hAnsi="Cambria" w:cs="Cambria"/>
              </w:rPr>
            </w:pPr>
            <w:r>
              <w:rPr>
                <w:rFonts w:ascii="Cambria" w:eastAsia="Cambria" w:hAnsi="Cambria" w:cs="Cambria"/>
              </w:rPr>
              <w:t xml:space="preserve">The quantity and quality of student’s surveys require improvement. There is currently excessive number of surveys which may lead to student’s fatigue.  </w:t>
            </w:r>
          </w:p>
        </w:tc>
      </w:tr>
    </w:tbl>
    <w:p w14:paraId="16FEFA24" w14:textId="77777777" w:rsidR="004C026D" w:rsidRDefault="004C026D" w:rsidP="004C026D">
      <w:pPr>
        <w:spacing w:after="200" w:line="276" w:lineRule="auto"/>
        <w:jc w:val="both"/>
        <w:rPr>
          <w:rFonts w:ascii="Cambria" w:eastAsia="Calibri" w:hAnsi="Cambria"/>
          <w:color w:val="000000"/>
          <w:szCs w:val="22"/>
          <w:lang w:eastAsia="lt-LT"/>
        </w:rPr>
      </w:pPr>
    </w:p>
    <w:p w14:paraId="16FEFA25" w14:textId="77777777" w:rsidR="004C026D" w:rsidRDefault="004C026D" w:rsidP="004C026D">
      <w:pPr>
        <w:keepNext/>
        <w:keepLines/>
        <w:tabs>
          <w:tab w:val="left" w:pos="680"/>
        </w:tabs>
        <w:spacing w:before="240" w:after="240"/>
        <w:ind w:left="360"/>
        <w:jc w:val="center"/>
        <w:outlineLvl w:val="1"/>
        <w:rPr>
          <w:rFonts w:ascii="Cambria" w:hAnsi="Cambria"/>
          <w:b/>
          <w:bCs/>
          <w:caps/>
          <w:color w:val="136C73"/>
          <w:sz w:val="36"/>
          <w:szCs w:val="26"/>
          <w:lang w:val="lt-LT" w:eastAsia="lt-LT"/>
        </w:rPr>
      </w:pPr>
      <w:bookmarkStart w:id="3" w:name="_Toc57129362"/>
      <w:r>
        <w:rPr>
          <w:rFonts w:ascii="Cambria" w:hAnsi="Cambria"/>
          <w:b/>
          <w:bCs/>
          <w:caps/>
          <w:color w:val="136C73"/>
          <w:sz w:val="36"/>
          <w:szCs w:val="26"/>
          <w:lang w:val="lt-LT" w:eastAsia="lt-LT"/>
        </w:rPr>
        <w:t>V</w:t>
      </w:r>
      <w:r w:rsidR="006C54F0">
        <w:rPr>
          <w:rFonts w:ascii="Cambria" w:hAnsi="Cambria"/>
          <w:b/>
          <w:bCs/>
          <w:caps/>
          <w:color w:val="136C73"/>
          <w:sz w:val="36"/>
          <w:szCs w:val="26"/>
          <w:lang w:val="lt-LT" w:eastAsia="lt-LT"/>
        </w:rPr>
        <w:t>I</w:t>
      </w:r>
      <w:r w:rsidRPr="00677F9A">
        <w:rPr>
          <w:rFonts w:ascii="Cambria" w:hAnsi="Cambria"/>
          <w:b/>
          <w:bCs/>
          <w:caps/>
          <w:color w:val="136C73"/>
          <w:sz w:val="36"/>
          <w:szCs w:val="26"/>
          <w:lang w:val="lt-LT" w:eastAsia="lt-LT"/>
        </w:rPr>
        <w:t>. SUMMARY</w:t>
      </w:r>
      <w:bookmarkEnd w:id="3"/>
    </w:p>
    <w:p w14:paraId="16FEFA26" w14:textId="77777777" w:rsidR="009654E2" w:rsidRPr="009654E2" w:rsidRDefault="009654E2" w:rsidP="009654E2">
      <w:pPr>
        <w:rPr>
          <w:rFonts w:asciiTheme="majorHAnsi" w:hAnsiTheme="majorHAnsi"/>
        </w:rPr>
      </w:pPr>
      <w:r w:rsidRPr="009654E2">
        <w:rPr>
          <w:rFonts w:asciiTheme="majorHAnsi" w:hAnsiTheme="majorHAnsi"/>
        </w:rPr>
        <w:t xml:space="preserve">The building energetics Bachelors and building energy engineering Masters programmes aim to educate specialists who would be able to analyse and model energy conversion processes,  identify, formulate and solve the engineering problems related to heat production, conversation, heat, gas supply, consumption as well as indoor air quality, design and use new and existing energy, thermal equipment and systems characterised by high efficiency, cost- effectiveness, quality, reliability, sustainable demand of resources and environmental impact. VGTU is the only university in the country offering these specialisations. </w:t>
      </w:r>
    </w:p>
    <w:p w14:paraId="16FEFA27" w14:textId="77777777" w:rsidR="009654E2" w:rsidRPr="009654E2" w:rsidRDefault="009654E2" w:rsidP="009654E2">
      <w:pPr>
        <w:rPr>
          <w:rFonts w:asciiTheme="majorHAnsi" w:hAnsiTheme="majorHAnsi"/>
        </w:rPr>
      </w:pPr>
    </w:p>
    <w:p w14:paraId="16FEFA28" w14:textId="77777777" w:rsidR="009654E2" w:rsidRPr="009654E2" w:rsidRDefault="009654E2" w:rsidP="009654E2">
      <w:pPr>
        <w:rPr>
          <w:rFonts w:asciiTheme="majorHAnsi" w:hAnsiTheme="majorHAnsi"/>
        </w:rPr>
      </w:pPr>
      <w:r w:rsidRPr="009654E2">
        <w:rPr>
          <w:rFonts w:asciiTheme="majorHAnsi" w:hAnsiTheme="majorHAnsi"/>
        </w:rPr>
        <w:t xml:space="preserve">The aims of the study programmes are to provide knowledge in Energy Engineering, specifically in relation to building energetics, to develop the ability to find and apply new engineering solutions for buildings (first-cycle programme); to provide knowledge in building energy engineering (second-cycle programme). The institution needs to be more specific about the aims and objectives to provide more clarity to prospective students and employers. </w:t>
      </w:r>
    </w:p>
    <w:p w14:paraId="16FEFA29" w14:textId="77777777" w:rsidR="009654E2" w:rsidRPr="009654E2" w:rsidRDefault="009654E2" w:rsidP="009654E2">
      <w:pPr>
        <w:rPr>
          <w:rFonts w:asciiTheme="majorHAnsi" w:hAnsiTheme="majorHAnsi"/>
        </w:rPr>
      </w:pPr>
    </w:p>
    <w:p w14:paraId="16FEFA2A" w14:textId="77777777" w:rsidR="009654E2" w:rsidRPr="009654E2" w:rsidRDefault="009654E2" w:rsidP="009654E2">
      <w:pPr>
        <w:rPr>
          <w:rFonts w:asciiTheme="majorHAnsi" w:hAnsiTheme="majorHAnsi"/>
        </w:rPr>
      </w:pPr>
      <w:r w:rsidRPr="009654E2">
        <w:rPr>
          <w:rFonts w:asciiTheme="majorHAnsi" w:hAnsiTheme="majorHAnsi"/>
        </w:rPr>
        <w:t>The university administration provides good conditions for undertaking scientific and activities and for staff and students to participate in research work and external projects. Topics of the research are closely related to the study subjects underpinning teaching by latest developments in the field. In addition, the university organises student scientific conferences and encourages students to present results at these events</w:t>
      </w:r>
    </w:p>
    <w:p w14:paraId="16FEFA2B" w14:textId="77777777" w:rsidR="009654E2" w:rsidRPr="009654E2" w:rsidRDefault="009654E2" w:rsidP="009654E2">
      <w:pPr>
        <w:rPr>
          <w:rFonts w:asciiTheme="majorHAnsi" w:hAnsiTheme="majorHAnsi"/>
        </w:rPr>
      </w:pPr>
    </w:p>
    <w:p w14:paraId="16FEFA2C" w14:textId="77777777" w:rsidR="009654E2" w:rsidRPr="009654E2" w:rsidRDefault="009654E2" w:rsidP="009654E2">
      <w:pPr>
        <w:rPr>
          <w:rFonts w:asciiTheme="majorHAnsi" w:hAnsiTheme="majorHAnsi"/>
        </w:rPr>
      </w:pPr>
      <w:r w:rsidRPr="009654E2">
        <w:rPr>
          <w:rFonts w:asciiTheme="majorHAnsi" w:hAnsiTheme="majorHAnsi"/>
        </w:rPr>
        <w:t xml:space="preserve">Although social partners get involved in supporting and assessing student’s research projects, this seems to happen without specific organisation. Additionally, social </w:t>
      </w:r>
      <w:proofErr w:type="gramStart"/>
      <w:r w:rsidRPr="009654E2">
        <w:rPr>
          <w:rFonts w:asciiTheme="majorHAnsi" w:hAnsiTheme="majorHAnsi"/>
        </w:rPr>
        <w:t>partners</w:t>
      </w:r>
      <w:proofErr w:type="gramEnd"/>
      <w:r w:rsidRPr="009654E2">
        <w:rPr>
          <w:rFonts w:asciiTheme="majorHAnsi" w:hAnsiTheme="majorHAnsi"/>
        </w:rPr>
        <w:t xml:space="preserve"> involvement in feedback and improvements to the study programmes is also random. Consequently, a more systematic and organised approach for engagement with social partners could be beneficial to the future of the study programmes. </w:t>
      </w:r>
    </w:p>
    <w:p w14:paraId="16FEFA2D" w14:textId="77777777" w:rsidR="009654E2" w:rsidRPr="009654E2" w:rsidRDefault="009654E2" w:rsidP="009654E2">
      <w:pPr>
        <w:rPr>
          <w:rFonts w:asciiTheme="majorHAnsi" w:hAnsiTheme="majorHAnsi"/>
        </w:rPr>
      </w:pPr>
      <w:r w:rsidRPr="009654E2">
        <w:rPr>
          <w:rFonts w:asciiTheme="majorHAnsi" w:hAnsiTheme="majorHAnsi"/>
        </w:rPr>
        <w:lastRenderedPageBreak/>
        <w:t xml:space="preserve">Recruitment to the study programmes has been in steady decline despite the uniqueness of the programmes and the expressed interest of graduates by social partners. This is a matter of concern that requires investigation of the true causes and implementing measures to reverse the decline. Improving recruitment to the first study cycle could provide a steadier recruitment to the second cycle. </w:t>
      </w:r>
    </w:p>
    <w:p w14:paraId="16FEFA2E" w14:textId="77777777" w:rsidR="009654E2" w:rsidRPr="009654E2" w:rsidRDefault="009654E2" w:rsidP="009654E2">
      <w:pPr>
        <w:rPr>
          <w:rFonts w:asciiTheme="majorHAnsi" w:hAnsiTheme="majorHAnsi"/>
        </w:rPr>
      </w:pPr>
      <w:r w:rsidRPr="009654E2">
        <w:rPr>
          <w:rFonts w:asciiTheme="majorHAnsi" w:hAnsiTheme="majorHAnsi"/>
        </w:rPr>
        <w:t xml:space="preserve">Although students’ mobility is actively encouraged, there seems to be much more incoming students than outgoing students. The reasons behind this are the engagement of home students with work during their studies. At the Masters level, there is hardly any mobility of students. </w:t>
      </w:r>
    </w:p>
    <w:p w14:paraId="16FEFA2F" w14:textId="77777777" w:rsidR="009654E2" w:rsidRPr="009654E2" w:rsidRDefault="009654E2" w:rsidP="009654E2">
      <w:pPr>
        <w:rPr>
          <w:rFonts w:asciiTheme="majorHAnsi" w:hAnsiTheme="majorHAnsi"/>
        </w:rPr>
      </w:pPr>
      <w:r w:rsidRPr="009654E2">
        <w:rPr>
          <w:rFonts w:asciiTheme="majorHAnsi" w:hAnsiTheme="majorHAnsi"/>
        </w:rPr>
        <w:t xml:space="preserve">The institution is active in collecting feedback from students to facilitate continuous improvements. However, it seems, based on students’ feedback, that there are too many surveys and they require a lot of time to complete.  The institution should review the quantity and quality of students’ surveys. </w:t>
      </w:r>
    </w:p>
    <w:p w14:paraId="16FEFA30" w14:textId="77777777" w:rsidR="009654E2" w:rsidRPr="009654E2" w:rsidRDefault="009654E2" w:rsidP="009654E2">
      <w:pPr>
        <w:rPr>
          <w:rFonts w:asciiTheme="majorHAnsi" w:hAnsiTheme="majorHAnsi"/>
        </w:rPr>
      </w:pPr>
      <w:r w:rsidRPr="009654E2">
        <w:rPr>
          <w:rFonts w:asciiTheme="majorHAnsi" w:hAnsiTheme="majorHAnsi"/>
        </w:rPr>
        <w:t>The university facilities and operations have been adapted for students from socially vulnerable groups and students with special needs. Participation in additional projects strengthens and educates the institution and staff.  However, proactive training and discussion are very relevant ways to educate the community and to get them to be prepared for potential challenges.</w:t>
      </w:r>
    </w:p>
    <w:p w14:paraId="16FEFA31" w14:textId="77777777" w:rsidR="009654E2" w:rsidRPr="009654E2" w:rsidRDefault="009654E2" w:rsidP="009654E2">
      <w:pPr>
        <w:rPr>
          <w:rFonts w:asciiTheme="majorHAnsi" w:hAnsiTheme="majorHAnsi"/>
        </w:rPr>
      </w:pPr>
    </w:p>
    <w:p w14:paraId="16FEFA32" w14:textId="77777777" w:rsidR="009654E2" w:rsidRPr="009654E2" w:rsidRDefault="009654E2" w:rsidP="009654E2">
      <w:pPr>
        <w:rPr>
          <w:rFonts w:asciiTheme="majorHAnsi" w:hAnsiTheme="majorHAnsi"/>
        </w:rPr>
      </w:pPr>
      <w:r w:rsidRPr="009654E2">
        <w:rPr>
          <w:rFonts w:asciiTheme="majorHAnsi" w:hAnsiTheme="majorHAnsi"/>
        </w:rPr>
        <w:t xml:space="preserve">The laboratories are well equipped for fundamental study subjects as well as renewable energy study subjects. However, there does not seem to be a clear plan to keep the lab equipment up to date and perform regular maintenance. </w:t>
      </w:r>
    </w:p>
    <w:p w14:paraId="16FEFA33" w14:textId="77777777" w:rsidR="009654E2" w:rsidRPr="009654E2" w:rsidRDefault="009654E2" w:rsidP="009654E2">
      <w:pPr>
        <w:rPr>
          <w:rFonts w:asciiTheme="majorHAnsi" w:hAnsiTheme="majorHAnsi"/>
        </w:rPr>
      </w:pPr>
    </w:p>
    <w:p w14:paraId="16FEFA34" w14:textId="77777777" w:rsidR="006C54F0" w:rsidRPr="009654E2" w:rsidRDefault="009654E2" w:rsidP="009654E2">
      <w:pPr>
        <w:rPr>
          <w:rFonts w:asciiTheme="majorHAnsi" w:hAnsiTheme="majorHAnsi"/>
        </w:rPr>
      </w:pPr>
      <w:r w:rsidRPr="009654E2">
        <w:rPr>
          <w:rFonts w:asciiTheme="majorHAnsi" w:hAnsiTheme="majorHAnsi"/>
        </w:rPr>
        <w:t>The involvement of stakeholders including students is adequate. However, there is concern about the lack of response to students following their feedback and the possibility that the issues they raise are not addressed. The university need to put in place a robust process to address students concerns and communicate the results to them.</w:t>
      </w:r>
    </w:p>
    <w:p w14:paraId="16FEFA35" w14:textId="77777777" w:rsidR="009654E2" w:rsidRPr="00677F9A" w:rsidRDefault="009654E2" w:rsidP="004C026D">
      <w:pPr>
        <w:keepNext/>
        <w:keepLines/>
        <w:tabs>
          <w:tab w:val="left" w:pos="680"/>
        </w:tabs>
        <w:spacing w:before="240" w:after="240"/>
        <w:ind w:left="360"/>
        <w:jc w:val="center"/>
        <w:outlineLvl w:val="1"/>
        <w:rPr>
          <w:rFonts w:ascii="Cambria" w:hAnsi="Cambria"/>
          <w:b/>
          <w:bCs/>
          <w:caps/>
          <w:color w:val="136C73"/>
          <w:sz w:val="36"/>
          <w:szCs w:val="26"/>
          <w:lang w:val="lt-LT" w:eastAsia="lt-LT"/>
        </w:rPr>
      </w:pPr>
    </w:p>
    <w:p w14:paraId="16FEFA36" w14:textId="77777777" w:rsidR="00B44DDD" w:rsidRDefault="00B44DDD" w:rsidP="004C026D">
      <w:pPr>
        <w:spacing w:after="200" w:line="276" w:lineRule="auto"/>
        <w:ind w:firstLine="426"/>
        <w:rPr>
          <w:rFonts w:ascii="Cambria" w:eastAsia="Calibri" w:hAnsi="Cambria"/>
          <w:szCs w:val="22"/>
          <w:highlight w:val="lightGray"/>
          <w:lang w:eastAsia="lt-LT"/>
        </w:rPr>
        <w:sectPr w:rsidR="00B44DDD">
          <w:pgSz w:w="11906" w:h="16838"/>
          <w:pgMar w:top="1701" w:right="567" w:bottom="1134" w:left="1701" w:header="567" w:footer="567" w:gutter="0"/>
          <w:cols w:space="1296"/>
          <w:docGrid w:linePitch="360"/>
        </w:sectPr>
      </w:pPr>
    </w:p>
    <w:p w14:paraId="16FEFA37" w14:textId="77777777" w:rsidR="004C026D" w:rsidRPr="0042467A" w:rsidRDefault="004C026D" w:rsidP="004C026D">
      <w:pPr>
        <w:jc w:val="center"/>
        <w:rPr>
          <w:lang w:val="lt-LT"/>
        </w:rPr>
      </w:pPr>
      <w:r w:rsidRPr="0042467A">
        <w:rPr>
          <w:lang w:val="lt-LT"/>
        </w:rPr>
        <w:lastRenderedPageBreak/>
        <w:t>______________</w:t>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r>
      <w:r w:rsidRPr="0042467A">
        <w:rPr>
          <w:lang w:val="lt-LT"/>
        </w:rPr>
        <w:softHyphen/>
        <w:t>_____________</w:t>
      </w:r>
    </w:p>
    <w:p w14:paraId="16FEFA38" w14:textId="77777777" w:rsidR="004C026D" w:rsidRPr="00677F9A" w:rsidRDefault="004C026D" w:rsidP="004C026D">
      <w:pPr>
        <w:spacing w:after="200" w:line="276" w:lineRule="auto"/>
        <w:rPr>
          <w:rFonts w:ascii="Cambria" w:eastAsia="Calibri" w:hAnsi="Cambria"/>
          <w:b/>
          <w:bCs/>
          <w:color w:val="800000"/>
          <w:szCs w:val="22"/>
          <w:lang w:val="lt-LT" w:eastAsia="lt-LT"/>
        </w:rPr>
      </w:pPr>
      <w:bookmarkStart w:id="4" w:name="_4._GENERAL_ASSESSMENT"/>
      <w:bookmarkEnd w:id="4"/>
    </w:p>
    <w:p w14:paraId="16FEFA39" w14:textId="77777777" w:rsidR="004C026D" w:rsidRPr="00C5787E" w:rsidRDefault="004C026D" w:rsidP="004C026D">
      <w:pPr>
        <w:jc w:val="right"/>
        <w:rPr>
          <w:lang w:val="lt-LT"/>
        </w:rPr>
      </w:pPr>
      <w:r w:rsidRPr="00C5787E">
        <w:rPr>
          <w:b/>
          <w:lang w:val="lt-LT"/>
        </w:rPr>
        <w:t>Vertimas iš anglų kalbos</w:t>
      </w:r>
    </w:p>
    <w:p w14:paraId="16FEFA3A" w14:textId="77777777" w:rsidR="004C026D" w:rsidRPr="00C5787E" w:rsidRDefault="004C026D" w:rsidP="004C026D">
      <w:pPr>
        <w:jc w:val="center"/>
        <w:rPr>
          <w:b/>
          <w:caps/>
          <w:lang w:val="lt-LT"/>
        </w:rPr>
      </w:pPr>
    </w:p>
    <w:p w14:paraId="16FEFA3B" w14:textId="485DA78E" w:rsidR="004C026D" w:rsidRDefault="009654E2" w:rsidP="004C026D">
      <w:pPr>
        <w:jc w:val="center"/>
        <w:rPr>
          <w:b/>
          <w:caps/>
          <w:lang w:val="lt-LT"/>
        </w:rPr>
      </w:pPr>
      <w:r>
        <w:rPr>
          <w:b/>
          <w:caps/>
          <w:lang w:val="lt-LT"/>
        </w:rPr>
        <w:t>VILNIAUS GEDIMINO TECHNIKOS</w:t>
      </w:r>
      <w:r w:rsidR="006C54F0">
        <w:rPr>
          <w:b/>
          <w:caps/>
          <w:lang w:val="lt-LT"/>
        </w:rPr>
        <w:t xml:space="preserve"> UNIVERSITETO  ENERGIJOS</w:t>
      </w:r>
      <w:r w:rsidR="004C026D">
        <w:rPr>
          <w:b/>
          <w:caps/>
          <w:lang w:val="lt-LT"/>
        </w:rPr>
        <w:t xml:space="preserve"> INŽINERIJOS krypties</w:t>
      </w:r>
      <w:r w:rsidR="004C026D" w:rsidRPr="00C5787E">
        <w:rPr>
          <w:b/>
          <w:caps/>
          <w:lang w:val="lt-LT"/>
        </w:rPr>
        <w:t xml:space="preserve"> studijų </w:t>
      </w:r>
      <w:r>
        <w:rPr>
          <w:b/>
          <w:caps/>
          <w:lang w:val="lt-LT"/>
        </w:rPr>
        <w:t xml:space="preserve">2021 </w:t>
      </w:r>
      <w:r w:rsidR="00216A9E">
        <w:rPr>
          <w:b/>
          <w:caps/>
          <w:lang w:val="lt-LT"/>
        </w:rPr>
        <w:t xml:space="preserve">M. </w:t>
      </w:r>
      <w:r>
        <w:rPr>
          <w:b/>
          <w:caps/>
          <w:lang w:val="lt-LT"/>
        </w:rPr>
        <w:t>LIEPOS 22</w:t>
      </w:r>
      <w:r w:rsidR="004C026D">
        <w:rPr>
          <w:b/>
          <w:caps/>
          <w:lang w:val="lt-LT"/>
        </w:rPr>
        <w:t xml:space="preserve"> D. </w:t>
      </w:r>
      <w:r w:rsidR="004C026D" w:rsidRPr="00C5787E">
        <w:rPr>
          <w:b/>
          <w:caps/>
          <w:lang w:val="lt-LT"/>
        </w:rPr>
        <w:t xml:space="preserve">ekspertinio vertinimo išvadų NR. </w:t>
      </w:r>
      <w:r>
        <w:rPr>
          <w:b/>
          <w:lang w:val="lt-LT"/>
        </w:rPr>
        <w:t>SV4-75</w:t>
      </w:r>
      <w:r w:rsidR="004C026D">
        <w:rPr>
          <w:b/>
          <w:lang w:val="lt-LT"/>
        </w:rPr>
        <w:t xml:space="preserve"> </w:t>
      </w:r>
      <w:r w:rsidR="004C026D" w:rsidRPr="00C5787E">
        <w:rPr>
          <w:b/>
          <w:caps/>
          <w:lang w:val="lt-LT"/>
        </w:rPr>
        <w:t>IŠRAŠAS</w:t>
      </w:r>
    </w:p>
    <w:p w14:paraId="16FEFA3C" w14:textId="77777777" w:rsidR="00B44DDD" w:rsidRPr="00C5787E" w:rsidRDefault="00B44DDD" w:rsidP="004C026D">
      <w:pPr>
        <w:jc w:val="center"/>
        <w:rPr>
          <w:b/>
          <w:caps/>
          <w:lang w:val="lt-LT"/>
        </w:rPr>
      </w:pPr>
    </w:p>
    <w:p w14:paraId="16FEFA3D" w14:textId="77777777" w:rsidR="004C026D" w:rsidRPr="0042467A" w:rsidRDefault="004C026D" w:rsidP="004C026D">
      <w:pPr>
        <w:rPr>
          <w:caps/>
          <w:sz w:val="16"/>
          <w:lang w:val="lt-LT"/>
        </w:rPr>
      </w:pPr>
    </w:p>
    <w:p w14:paraId="16FEFA3E" w14:textId="77777777" w:rsidR="004C026D" w:rsidRPr="00677F9A" w:rsidRDefault="004C026D" w:rsidP="004C026D">
      <w:pPr>
        <w:spacing w:after="200" w:line="276" w:lineRule="auto"/>
        <w:jc w:val="center"/>
        <w:rPr>
          <w:rFonts w:ascii="Cambria" w:eastAsia="Calibri" w:hAnsi="Cambria"/>
          <w:i/>
          <w:sz w:val="36"/>
          <w:szCs w:val="36"/>
          <w:lang w:val="lt-LT" w:eastAsia="lt-LT"/>
        </w:rPr>
      </w:pPr>
      <w:r w:rsidRPr="00677F9A">
        <w:rPr>
          <w:rFonts w:ascii="Calibri" w:eastAsia="Calibri" w:hAnsi="Calibri"/>
          <w:i/>
          <w:noProof/>
          <w:sz w:val="36"/>
          <w:szCs w:val="36"/>
          <w:lang w:val="lt-LT" w:eastAsia="lt-LT"/>
        </w:rPr>
        <w:drawing>
          <wp:inline distT="0" distB="0" distL="0" distR="0" wp14:anchorId="16FEFB26" wp14:editId="16FEFB27">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16FEFA3F" w14:textId="77777777" w:rsidR="004C026D" w:rsidRPr="00677F9A" w:rsidRDefault="004C026D" w:rsidP="004C026D">
      <w:pPr>
        <w:spacing w:after="200"/>
        <w:jc w:val="center"/>
        <w:rPr>
          <w:rFonts w:ascii="Cambria" w:eastAsia="Calibri" w:hAnsi="Cambria"/>
          <w:color w:val="136C73"/>
          <w:sz w:val="28"/>
          <w:szCs w:val="28"/>
          <w:lang w:val="lt-LT" w:eastAsia="lt-LT"/>
        </w:rPr>
      </w:pPr>
      <w:r w:rsidRPr="00677F9A">
        <w:rPr>
          <w:rFonts w:ascii="Cambria" w:eastAsia="Calibri" w:hAnsi="Cambria"/>
          <w:color w:val="136C73"/>
          <w:sz w:val="28"/>
          <w:szCs w:val="28"/>
          <w:lang w:val="lt-LT" w:eastAsia="lt-LT"/>
        </w:rPr>
        <w:t>STUDIJŲ KOKYBĖS VERTINIMO CENTRAS</w:t>
      </w:r>
    </w:p>
    <w:p w14:paraId="16FEFA40" w14:textId="77777777" w:rsidR="004C026D" w:rsidRPr="00677F9A" w:rsidRDefault="00B44DDD" w:rsidP="004C026D">
      <w:pPr>
        <w:spacing w:after="200"/>
        <w:jc w:val="center"/>
        <w:rPr>
          <w:rFonts w:ascii="Cambria" w:eastAsia="Calibri" w:hAnsi="Cambria"/>
          <w:color w:val="136C73"/>
          <w:sz w:val="28"/>
          <w:szCs w:val="28"/>
          <w:lang w:val="lt-LT" w:eastAsia="lt-LT"/>
        </w:rPr>
      </w:pPr>
      <w:r>
        <w:rPr>
          <w:rFonts w:ascii="Cambria" w:eastAsia="Calibri" w:hAnsi="Cambria"/>
          <w:color w:val="136C73"/>
          <w:sz w:val="28"/>
          <w:szCs w:val="28"/>
          <w:lang w:val="lt-LT" w:eastAsia="lt-LT"/>
        </w:rPr>
        <w:t>VILNIAUS GEDIMINO TECHNIKOS</w:t>
      </w:r>
      <w:r w:rsidR="004C026D">
        <w:rPr>
          <w:rFonts w:ascii="Cambria" w:eastAsia="Calibri" w:hAnsi="Cambria"/>
          <w:color w:val="136C73"/>
          <w:sz w:val="28"/>
          <w:szCs w:val="28"/>
          <w:lang w:val="lt-LT" w:eastAsia="lt-LT"/>
        </w:rPr>
        <w:t xml:space="preserve"> UNIVERSITETAS</w:t>
      </w:r>
    </w:p>
    <w:p w14:paraId="16FEFA41" w14:textId="77777777" w:rsidR="004C026D" w:rsidRPr="00677F9A" w:rsidRDefault="004C026D" w:rsidP="004C026D">
      <w:pPr>
        <w:spacing w:after="200"/>
        <w:jc w:val="center"/>
        <w:rPr>
          <w:rFonts w:ascii="Cambria" w:eastAsia="Calibri" w:hAnsi="Cambria"/>
          <w:b/>
          <w:color w:val="136C73"/>
          <w:sz w:val="28"/>
          <w:szCs w:val="28"/>
          <w:lang w:val="lt-LT" w:eastAsia="lt-LT"/>
        </w:rPr>
      </w:pPr>
      <w:r w:rsidRPr="00677F9A">
        <w:rPr>
          <w:rFonts w:ascii="Cambria" w:eastAsia="Calibri" w:hAnsi="Cambria"/>
          <w:b/>
          <w:color w:val="136C73"/>
          <w:sz w:val="28"/>
          <w:szCs w:val="28"/>
          <w:lang w:val="lt-LT" w:eastAsia="lt-LT"/>
        </w:rPr>
        <w:t xml:space="preserve">STUDIJŲ KRYPTIS </w:t>
      </w:r>
      <w:r w:rsidR="006C54F0">
        <w:rPr>
          <w:rFonts w:ascii="Cambria" w:eastAsia="Calibri" w:hAnsi="Cambria"/>
          <w:b/>
          <w:color w:val="136C73"/>
          <w:sz w:val="28"/>
          <w:szCs w:val="28"/>
          <w:lang w:val="lt-LT" w:eastAsia="lt-LT"/>
        </w:rPr>
        <w:t>ENERGIJOS</w:t>
      </w:r>
      <w:r>
        <w:rPr>
          <w:rFonts w:ascii="Cambria" w:eastAsia="Calibri" w:hAnsi="Cambria"/>
          <w:b/>
          <w:color w:val="136C73"/>
          <w:sz w:val="28"/>
          <w:szCs w:val="28"/>
          <w:lang w:val="lt-LT" w:eastAsia="lt-LT"/>
        </w:rPr>
        <w:t xml:space="preserve"> INŽINERIJA</w:t>
      </w:r>
    </w:p>
    <w:p w14:paraId="16FEFA42" w14:textId="77777777" w:rsidR="004C026D" w:rsidRPr="00677F9A" w:rsidRDefault="004C026D" w:rsidP="004C026D">
      <w:pPr>
        <w:spacing w:after="200"/>
        <w:jc w:val="center"/>
        <w:rPr>
          <w:rFonts w:ascii="Cambria" w:eastAsia="Calibri" w:hAnsi="Cambria"/>
          <w:b/>
          <w:bCs/>
          <w:color w:val="136C73"/>
          <w:sz w:val="28"/>
          <w:szCs w:val="28"/>
          <w:lang w:val="lt-LT" w:eastAsia="lt-LT"/>
        </w:rPr>
      </w:pPr>
      <w:r w:rsidRPr="00677F9A">
        <w:rPr>
          <w:rFonts w:ascii="Cambria" w:eastAsia="Calibri" w:hAnsi="Cambria"/>
          <w:b/>
          <w:color w:val="136C73"/>
          <w:sz w:val="28"/>
          <w:szCs w:val="28"/>
          <w:lang w:val="lt-LT" w:eastAsia="lt-LT"/>
        </w:rPr>
        <w:t xml:space="preserve">VERTINIMO </w:t>
      </w:r>
      <w:r w:rsidRPr="00677F9A">
        <w:rPr>
          <w:rFonts w:ascii="Cambria" w:eastAsia="Calibri" w:hAnsi="Cambria"/>
          <w:b/>
          <w:bCs/>
          <w:color w:val="136C73"/>
          <w:sz w:val="28"/>
          <w:szCs w:val="28"/>
          <w:lang w:val="lt-LT" w:eastAsia="lt-LT"/>
        </w:rPr>
        <w:t>IŠVADOS</w:t>
      </w:r>
    </w:p>
    <w:p w14:paraId="16FEFA43" w14:textId="77777777" w:rsidR="004C026D" w:rsidRPr="00677F9A" w:rsidRDefault="004C026D" w:rsidP="004C026D">
      <w:pPr>
        <w:spacing w:after="200" w:line="276" w:lineRule="auto"/>
        <w:jc w:val="center"/>
        <w:rPr>
          <w:rFonts w:ascii="Cambria" w:eastAsia="Calibri" w:hAnsi="Cambria"/>
          <w:sz w:val="36"/>
          <w:szCs w:val="36"/>
          <w:lang w:val="lt-LT" w:eastAsia="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923"/>
      </w:tblGrid>
      <w:tr w:rsidR="004C026D" w:rsidRPr="00677F9A" w14:paraId="16FEFA4D" w14:textId="77777777" w:rsidTr="00B44DDD">
        <w:trPr>
          <w:trHeight w:val="3660"/>
        </w:trPr>
        <w:tc>
          <w:tcPr>
            <w:tcW w:w="9923" w:type="dxa"/>
            <w:tcBorders>
              <w:top w:val="single" w:sz="4" w:space="0" w:color="auto"/>
              <w:left w:val="single" w:sz="4" w:space="0" w:color="auto"/>
              <w:bottom w:val="single" w:sz="4" w:space="0" w:color="auto"/>
              <w:right w:val="single" w:sz="4" w:space="0" w:color="auto"/>
            </w:tcBorders>
            <w:shd w:val="clear" w:color="auto" w:fill="85A5A4"/>
          </w:tcPr>
          <w:p w14:paraId="16FEFA44" w14:textId="77777777" w:rsidR="006C54F0" w:rsidRDefault="006C54F0" w:rsidP="006C54F0">
            <w:pPr>
              <w:tabs>
                <w:tab w:val="left" w:pos="0"/>
              </w:tabs>
              <w:rPr>
                <w:rFonts w:ascii="Cambria" w:eastAsia="Cambria" w:hAnsi="Cambria" w:cs="Cambria"/>
                <w:b/>
                <w:color w:val="FFFFFF"/>
              </w:rPr>
            </w:pPr>
            <w:proofErr w:type="spellStart"/>
            <w:r>
              <w:rPr>
                <w:rFonts w:ascii="Cambria" w:eastAsia="Cambria" w:hAnsi="Cambria" w:cs="Cambria"/>
                <w:b/>
                <w:color w:val="FFFFFF"/>
              </w:rPr>
              <w:t>Ekspertų</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grupė</w:t>
            </w:r>
            <w:proofErr w:type="spellEnd"/>
            <w:r>
              <w:rPr>
                <w:rFonts w:ascii="Cambria" w:eastAsia="Cambria" w:hAnsi="Cambria" w:cs="Cambria"/>
                <w:b/>
                <w:color w:val="FFFFFF"/>
              </w:rPr>
              <w:t>:</w:t>
            </w:r>
          </w:p>
          <w:p w14:paraId="16FEFA45" w14:textId="77777777" w:rsidR="006C54F0" w:rsidRDefault="006C54F0" w:rsidP="006C54F0">
            <w:pPr>
              <w:tabs>
                <w:tab w:val="left" w:pos="0"/>
              </w:tabs>
              <w:rPr>
                <w:rFonts w:ascii="Cambria" w:eastAsia="Cambria" w:hAnsi="Cambria" w:cs="Cambria"/>
                <w:b/>
                <w:color w:val="FFFFFF"/>
              </w:rPr>
            </w:pPr>
          </w:p>
          <w:p w14:paraId="4D48C3FD" w14:textId="77777777" w:rsidR="00216A9E" w:rsidRDefault="006C54F0" w:rsidP="00216A9E">
            <w:pPr>
              <w:numPr>
                <w:ilvl w:val="0"/>
                <w:numId w:val="5"/>
              </w:numPr>
              <w:tabs>
                <w:tab w:val="left" w:pos="0"/>
              </w:tabs>
              <w:spacing w:line="360" w:lineRule="auto"/>
              <w:ind w:left="601"/>
              <w:rPr>
                <w:rFonts w:ascii="Cambria" w:eastAsia="Cambria" w:hAnsi="Cambria" w:cs="Cambria"/>
                <w:b/>
                <w:color w:val="FFFFFF"/>
              </w:rPr>
            </w:pPr>
            <w:proofErr w:type="spellStart"/>
            <w:r>
              <w:rPr>
                <w:rFonts w:ascii="Cambria" w:eastAsia="Cambria" w:hAnsi="Cambria" w:cs="Cambria"/>
                <w:b/>
                <w:color w:val="FFFFFF"/>
              </w:rPr>
              <w:t>Prof.</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Abdulnaser</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Sayma</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grupės</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vadovas</w:t>
            </w:r>
            <w:proofErr w:type="spellEnd"/>
            <w:r>
              <w:rPr>
                <w:rFonts w:ascii="Cambria" w:eastAsia="Cambria" w:hAnsi="Cambria" w:cs="Cambria"/>
                <w:b/>
                <w:color w:val="FFFFFF"/>
              </w:rPr>
              <w:t xml:space="preserve">), </w:t>
            </w:r>
            <w:proofErr w:type="spellStart"/>
            <w:r>
              <w:rPr>
                <w:rFonts w:ascii="Cambria" w:eastAsia="Cambria" w:hAnsi="Cambria" w:cs="Cambria"/>
                <w:color w:val="FFFFFF"/>
              </w:rPr>
              <w:t>akademinės</w:t>
            </w:r>
            <w:proofErr w:type="spellEnd"/>
            <w:r>
              <w:rPr>
                <w:rFonts w:ascii="Cambria" w:eastAsia="Cambria" w:hAnsi="Cambria" w:cs="Cambria"/>
                <w:color w:val="FFFFFF"/>
              </w:rPr>
              <w:t xml:space="preserve"> </w:t>
            </w:r>
            <w:proofErr w:type="spellStart"/>
            <w:r>
              <w:rPr>
                <w:rFonts w:ascii="Cambria" w:eastAsia="Cambria" w:hAnsi="Cambria" w:cs="Cambria"/>
                <w:color w:val="FFFFFF"/>
              </w:rPr>
              <w:t>bendruomenės</w:t>
            </w:r>
            <w:proofErr w:type="spellEnd"/>
            <w:r>
              <w:rPr>
                <w:rFonts w:ascii="Cambria" w:eastAsia="Cambria" w:hAnsi="Cambria" w:cs="Cambria"/>
                <w:color w:val="FFFFFF"/>
              </w:rPr>
              <w:t xml:space="preserve"> </w:t>
            </w:r>
            <w:proofErr w:type="spellStart"/>
            <w:r>
              <w:rPr>
                <w:rFonts w:ascii="Cambria" w:eastAsia="Cambria" w:hAnsi="Cambria" w:cs="Cambria"/>
                <w:color w:val="FFFFFF"/>
              </w:rPr>
              <w:t>atstovas</w:t>
            </w:r>
            <w:proofErr w:type="spellEnd"/>
            <w:r>
              <w:rPr>
                <w:rFonts w:ascii="Cambria" w:eastAsia="Cambria" w:hAnsi="Cambria" w:cs="Cambria"/>
                <w:i/>
                <w:color w:val="FFFFFF"/>
              </w:rPr>
              <w:t>;</w:t>
            </w:r>
          </w:p>
          <w:p w14:paraId="10AE041B" w14:textId="287F1362" w:rsidR="00216A9E" w:rsidRDefault="006C54F0" w:rsidP="00216A9E">
            <w:pPr>
              <w:numPr>
                <w:ilvl w:val="0"/>
                <w:numId w:val="5"/>
              </w:numPr>
              <w:tabs>
                <w:tab w:val="left" w:pos="0"/>
              </w:tabs>
              <w:spacing w:line="360" w:lineRule="auto"/>
              <w:ind w:left="601"/>
              <w:rPr>
                <w:rFonts w:ascii="Cambria" w:eastAsia="Cambria" w:hAnsi="Cambria" w:cs="Cambria"/>
                <w:b/>
                <w:color w:val="FFFFFF"/>
              </w:rPr>
            </w:pPr>
            <w:proofErr w:type="spellStart"/>
            <w:r w:rsidRPr="00216A9E">
              <w:rPr>
                <w:rFonts w:ascii="Cambria" w:eastAsia="Cambria" w:hAnsi="Cambria" w:cs="Cambria"/>
                <w:b/>
                <w:color w:val="FFFFFF"/>
              </w:rPr>
              <w:t>Prof.</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b/>
                <w:color w:val="FFFFFF"/>
              </w:rPr>
              <w:t>Dr.</w:t>
            </w:r>
            <w:proofErr w:type="spellEnd"/>
            <w:r w:rsidRPr="00216A9E">
              <w:rPr>
                <w:rFonts w:ascii="Cambria" w:eastAsia="Cambria" w:hAnsi="Cambria" w:cs="Cambria"/>
                <w:b/>
                <w:color w:val="FFFFFF"/>
              </w:rPr>
              <w:t xml:space="preserve"> Luisa Fernanda </w:t>
            </w:r>
            <w:proofErr w:type="spellStart"/>
            <w:r w:rsidRPr="00216A9E">
              <w:rPr>
                <w:rFonts w:ascii="Cambria" w:eastAsia="Cambria" w:hAnsi="Cambria" w:cs="Cambria"/>
                <w:b/>
                <w:color w:val="FFFFFF"/>
              </w:rPr>
              <w:t>Cabeza</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b/>
                <w:color w:val="FFFFFF"/>
              </w:rPr>
              <w:t>Fabra</w:t>
            </w:r>
            <w:proofErr w:type="spellEnd"/>
            <w:r w:rsidRPr="00216A9E">
              <w:rPr>
                <w:rFonts w:ascii="Cambria" w:eastAsia="Cambria" w:hAnsi="Cambria" w:cs="Cambria"/>
                <w:b/>
                <w:color w:val="FFFFFF"/>
              </w:rPr>
              <w:t>,</w:t>
            </w:r>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akademinės</w:t>
            </w:r>
            <w:proofErr w:type="spellEnd"/>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bendruomenės</w:t>
            </w:r>
            <w:proofErr w:type="spellEnd"/>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atstovė</w:t>
            </w:r>
            <w:proofErr w:type="spellEnd"/>
            <w:r w:rsidRPr="00216A9E">
              <w:rPr>
                <w:rFonts w:ascii="Cambria" w:eastAsia="Cambria" w:hAnsi="Cambria" w:cs="Cambria"/>
                <w:i/>
                <w:color w:val="FFFFFF"/>
              </w:rPr>
              <w:t>;</w:t>
            </w:r>
          </w:p>
          <w:p w14:paraId="4EB9B1D3" w14:textId="52C601CB" w:rsidR="00216A9E" w:rsidRDefault="006C54F0" w:rsidP="00216A9E">
            <w:pPr>
              <w:numPr>
                <w:ilvl w:val="0"/>
                <w:numId w:val="5"/>
              </w:numPr>
              <w:tabs>
                <w:tab w:val="left" w:pos="0"/>
              </w:tabs>
              <w:spacing w:line="360" w:lineRule="auto"/>
              <w:ind w:left="601"/>
              <w:rPr>
                <w:rFonts w:ascii="Cambria" w:eastAsia="Cambria" w:hAnsi="Cambria" w:cs="Cambria"/>
                <w:b/>
                <w:color w:val="FFFFFF"/>
              </w:rPr>
            </w:pPr>
            <w:proofErr w:type="spellStart"/>
            <w:r w:rsidRPr="00216A9E">
              <w:rPr>
                <w:rFonts w:ascii="Cambria" w:eastAsia="Cambria" w:hAnsi="Cambria" w:cs="Cambria"/>
                <w:b/>
                <w:color w:val="FFFFFF"/>
              </w:rPr>
              <w:t>Prof.</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b/>
                <w:color w:val="FFFFFF"/>
              </w:rPr>
              <w:t>Dr.</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b/>
                <w:color w:val="FFFFFF"/>
              </w:rPr>
              <w:t>Eleonora</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b/>
                <w:color w:val="FFFFFF"/>
              </w:rPr>
              <w:t>Guseinovienė</w:t>
            </w:r>
            <w:proofErr w:type="spellEnd"/>
            <w:r w:rsidRPr="00216A9E">
              <w:rPr>
                <w:rFonts w:ascii="Cambria" w:eastAsia="Cambria" w:hAnsi="Cambria" w:cs="Cambria"/>
                <w:b/>
                <w:color w:val="FFFFFF"/>
              </w:rPr>
              <w:t>,</w:t>
            </w:r>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akademinės</w:t>
            </w:r>
            <w:proofErr w:type="spellEnd"/>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bendruomenės</w:t>
            </w:r>
            <w:proofErr w:type="spellEnd"/>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atstovė</w:t>
            </w:r>
            <w:proofErr w:type="spellEnd"/>
            <w:r w:rsidRPr="00216A9E">
              <w:rPr>
                <w:rFonts w:ascii="Cambria" w:eastAsia="Cambria" w:hAnsi="Cambria" w:cs="Cambria"/>
                <w:i/>
                <w:color w:val="FFFFFF"/>
              </w:rPr>
              <w:t>;</w:t>
            </w:r>
          </w:p>
          <w:p w14:paraId="30977985" w14:textId="113FA908" w:rsidR="00216A9E" w:rsidRDefault="006C54F0" w:rsidP="00216A9E">
            <w:pPr>
              <w:numPr>
                <w:ilvl w:val="0"/>
                <w:numId w:val="5"/>
              </w:numPr>
              <w:tabs>
                <w:tab w:val="left" w:pos="0"/>
              </w:tabs>
              <w:spacing w:line="360" w:lineRule="auto"/>
              <w:ind w:left="601"/>
              <w:rPr>
                <w:rFonts w:ascii="Cambria" w:eastAsia="Cambria" w:hAnsi="Cambria" w:cs="Cambria"/>
                <w:b/>
                <w:color w:val="FFFFFF"/>
              </w:rPr>
            </w:pPr>
            <w:r w:rsidRPr="00216A9E">
              <w:rPr>
                <w:rFonts w:ascii="Cambria" w:eastAsia="Cambria" w:hAnsi="Cambria" w:cs="Cambria"/>
                <w:b/>
                <w:color w:val="FFFFFF"/>
              </w:rPr>
              <w:t xml:space="preserve">Mr. Mindaugas </w:t>
            </w:r>
            <w:proofErr w:type="spellStart"/>
            <w:r w:rsidRPr="00216A9E">
              <w:rPr>
                <w:rFonts w:ascii="Cambria" w:eastAsia="Cambria" w:hAnsi="Cambria" w:cs="Cambria"/>
                <w:b/>
                <w:color w:val="FFFFFF"/>
              </w:rPr>
              <w:t>Pranaitis</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i/>
                <w:color w:val="FFFFFF"/>
              </w:rPr>
              <w:t>socialinių</w:t>
            </w:r>
            <w:proofErr w:type="spellEnd"/>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partnerių</w:t>
            </w:r>
            <w:proofErr w:type="spellEnd"/>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atstovas</w:t>
            </w:r>
            <w:proofErr w:type="spellEnd"/>
            <w:r w:rsidRPr="00216A9E">
              <w:rPr>
                <w:rFonts w:ascii="Cambria" w:eastAsia="Cambria" w:hAnsi="Cambria" w:cs="Cambria"/>
                <w:i/>
                <w:color w:val="FFFFFF"/>
              </w:rPr>
              <w:t xml:space="preserve">; </w:t>
            </w:r>
          </w:p>
          <w:p w14:paraId="16FEFA4A" w14:textId="14986899" w:rsidR="006C54F0" w:rsidRPr="00216A9E" w:rsidRDefault="006C54F0" w:rsidP="00216A9E">
            <w:pPr>
              <w:numPr>
                <w:ilvl w:val="0"/>
                <w:numId w:val="5"/>
              </w:numPr>
              <w:tabs>
                <w:tab w:val="left" w:pos="0"/>
              </w:tabs>
              <w:spacing w:line="360" w:lineRule="auto"/>
              <w:ind w:left="601"/>
              <w:rPr>
                <w:rFonts w:ascii="Cambria" w:eastAsia="Cambria" w:hAnsi="Cambria" w:cs="Cambria"/>
                <w:b/>
                <w:color w:val="FFFFFF"/>
              </w:rPr>
            </w:pPr>
            <w:proofErr w:type="spellStart"/>
            <w:r w:rsidRPr="00216A9E">
              <w:rPr>
                <w:rFonts w:ascii="Cambria" w:eastAsia="Cambria" w:hAnsi="Cambria" w:cs="Cambria"/>
                <w:b/>
                <w:color w:val="FFFFFF"/>
              </w:rPr>
              <w:t>Henrikas</w:t>
            </w:r>
            <w:proofErr w:type="spellEnd"/>
            <w:r w:rsidRPr="00216A9E">
              <w:rPr>
                <w:rFonts w:ascii="Cambria" w:eastAsia="Cambria" w:hAnsi="Cambria" w:cs="Cambria"/>
                <w:b/>
                <w:color w:val="FFFFFF"/>
              </w:rPr>
              <w:t xml:space="preserve"> </w:t>
            </w:r>
            <w:proofErr w:type="spellStart"/>
            <w:r w:rsidRPr="00216A9E">
              <w:rPr>
                <w:rFonts w:ascii="Cambria" w:eastAsia="Cambria" w:hAnsi="Cambria" w:cs="Cambria"/>
                <w:b/>
                <w:color w:val="FFFFFF"/>
              </w:rPr>
              <w:t>Vaickus</w:t>
            </w:r>
            <w:proofErr w:type="spellEnd"/>
            <w:r w:rsidRPr="00216A9E">
              <w:rPr>
                <w:rFonts w:ascii="Cambria" w:eastAsia="Cambria" w:hAnsi="Cambria" w:cs="Cambria"/>
                <w:b/>
                <w:color w:val="FFFFFF"/>
              </w:rPr>
              <w:t xml:space="preserve">, </w:t>
            </w:r>
            <w:r w:rsidRPr="00216A9E">
              <w:rPr>
                <w:rFonts w:ascii="Cambria" w:eastAsia="Cambria" w:hAnsi="Cambria" w:cs="Cambria"/>
                <w:i/>
                <w:color w:val="FFFFFF"/>
              </w:rPr>
              <w:t>student</w:t>
            </w:r>
            <w:r w:rsidR="00216A9E">
              <w:rPr>
                <w:rFonts w:ascii="Cambria" w:eastAsia="Cambria" w:hAnsi="Cambria" w:cs="Cambria"/>
                <w:i/>
                <w:color w:val="FFFFFF"/>
                <w:lang w:val="lt-LT"/>
              </w:rPr>
              <w:t>ų</w:t>
            </w:r>
            <w:r w:rsidRPr="00216A9E">
              <w:rPr>
                <w:rFonts w:ascii="Cambria" w:eastAsia="Cambria" w:hAnsi="Cambria" w:cs="Cambria"/>
                <w:i/>
                <w:color w:val="FFFFFF"/>
              </w:rPr>
              <w:t xml:space="preserve"> </w:t>
            </w:r>
            <w:proofErr w:type="spellStart"/>
            <w:r w:rsidRPr="00216A9E">
              <w:rPr>
                <w:rFonts w:ascii="Cambria" w:eastAsia="Cambria" w:hAnsi="Cambria" w:cs="Cambria"/>
                <w:i/>
                <w:color w:val="FFFFFF"/>
              </w:rPr>
              <w:t>atstovas</w:t>
            </w:r>
            <w:proofErr w:type="spellEnd"/>
            <w:r w:rsidRPr="00216A9E">
              <w:rPr>
                <w:rFonts w:ascii="Cambria" w:eastAsia="Cambria" w:hAnsi="Cambria" w:cs="Cambria"/>
                <w:color w:val="FFFFFF"/>
              </w:rPr>
              <w:t>.</w:t>
            </w:r>
          </w:p>
          <w:p w14:paraId="16FEFA4B" w14:textId="77777777" w:rsidR="006C54F0" w:rsidRDefault="006C54F0" w:rsidP="006C54F0">
            <w:pPr>
              <w:tabs>
                <w:tab w:val="left" w:pos="0"/>
              </w:tabs>
              <w:rPr>
                <w:rFonts w:ascii="Cambria" w:eastAsia="Cambria" w:hAnsi="Cambria" w:cs="Cambria"/>
                <w:b/>
                <w:color w:val="FFFFFF"/>
              </w:rPr>
            </w:pPr>
          </w:p>
          <w:p w14:paraId="16FEFA4C" w14:textId="73A692C9" w:rsidR="004C026D" w:rsidRPr="00677F9A" w:rsidRDefault="00CE0C67" w:rsidP="006C54F0">
            <w:pPr>
              <w:tabs>
                <w:tab w:val="left" w:pos="0"/>
              </w:tabs>
              <w:spacing w:line="276" w:lineRule="auto"/>
              <w:rPr>
                <w:rFonts w:ascii="Cambria" w:eastAsia="Calibri" w:hAnsi="Cambria"/>
                <w:b/>
                <w:i/>
                <w:color w:val="571C1F"/>
                <w:szCs w:val="22"/>
                <w:lang w:val="lt-LT" w:eastAsia="lt-LT"/>
              </w:rPr>
            </w:pPr>
            <w:proofErr w:type="spellStart"/>
            <w:r>
              <w:rPr>
                <w:rFonts w:ascii="Cambria" w:eastAsia="Cambria" w:hAnsi="Cambria" w:cs="Cambria"/>
                <w:b/>
                <w:color w:val="FFFFFF"/>
              </w:rPr>
              <w:t>Vertinimo</w:t>
            </w:r>
            <w:proofErr w:type="spellEnd"/>
            <w:r>
              <w:rPr>
                <w:rFonts w:ascii="Cambria" w:eastAsia="Cambria" w:hAnsi="Cambria" w:cs="Cambria"/>
                <w:b/>
                <w:color w:val="FFFFFF"/>
              </w:rPr>
              <w:t xml:space="preserve"> </w:t>
            </w:r>
            <w:proofErr w:type="spellStart"/>
            <w:r>
              <w:rPr>
                <w:rFonts w:ascii="Cambria" w:eastAsia="Cambria" w:hAnsi="Cambria" w:cs="Cambria"/>
                <w:b/>
                <w:color w:val="FFFFFF"/>
              </w:rPr>
              <w:t>koordinatorė</w:t>
            </w:r>
            <w:proofErr w:type="spellEnd"/>
            <w:r>
              <w:rPr>
                <w:rFonts w:ascii="Cambria" w:eastAsia="Cambria" w:hAnsi="Cambria" w:cs="Cambria"/>
                <w:b/>
                <w:color w:val="FFFFFF"/>
              </w:rPr>
              <w:t xml:space="preserve"> –</w:t>
            </w:r>
            <w:r w:rsidR="006C54F0" w:rsidRPr="00967E8E">
              <w:rPr>
                <w:rFonts w:ascii="Cambria" w:eastAsia="Calibri" w:hAnsi="Cambria"/>
                <w:b/>
                <w:color w:val="FFFFFF"/>
                <w:lang w:eastAsia="lt-LT"/>
              </w:rPr>
              <w:t xml:space="preserve"> Ona Charževskytė</w:t>
            </w:r>
          </w:p>
        </w:tc>
      </w:tr>
    </w:tbl>
    <w:p w14:paraId="16FEFA4E" w14:textId="77777777" w:rsidR="004C026D" w:rsidRDefault="004C026D" w:rsidP="004C026D">
      <w:pPr>
        <w:rPr>
          <w:rFonts w:ascii="Calibri" w:eastAsia="Calibri" w:hAnsi="Calibri"/>
          <w:sz w:val="22"/>
          <w:szCs w:val="22"/>
          <w:lang w:val="lt-LT" w:eastAsia="lt-LT"/>
        </w:rPr>
      </w:pPr>
    </w:p>
    <w:p w14:paraId="16FEFA4F" w14:textId="77777777" w:rsidR="004C026D" w:rsidRPr="0060015D" w:rsidRDefault="004C026D" w:rsidP="004C026D">
      <w:pPr>
        <w:rPr>
          <w:rFonts w:asciiTheme="minorHAnsi" w:eastAsia="Calibri" w:hAnsiTheme="minorHAnsi" w:cstheme="minorHAnsi"/>
          <w:color w:val="136C73"/>
          <w:sz w:val="22"/>
          <w:szCs w:val="22"/>
          <w:lang w:val="lt-LT"/>
        </w:rPr>
      </w:pPr>
    </w:p>
    <w:p w14:paraId="16FEFA50" w14:textId="77777777" w:rsidR="004C026D" w:rsidRPr="0060015D" w:rsidRDefault="004C026D" w:rsidP="004C026D">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Išvados parengtos anglų kalba</w:t>
      </w:r>
    </w:p>
    <w:p w14:paraId="16FEFA51" w14:textId="77777777" w:rsidR="004C026D" w:rsidRPr="0060015D" w:rsidRDefault="004C026D" w:rsidP="004C026D">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Vert</w:t>
      </w:r>
      <w:r>
        <w:rPr>
          <w:rFonts w:asciiTheme="majorHAnsi" w:eastAsia="Calibri" w:hAnsiTheme="majorHAnsi" w:cstheme="minorHAnsi"/>
          <w:color w:val="136C73"/>
          <w:lang w:val="lt-LT"/>
        </w:rPr>
        <w:t>imą į lietuvių kalbą atliko MB „Ad Gloriam“</w:t>
      </w:r>
    </w:p>
    <w:p w14:paraId="16FEFA52" w14:textId="77777777" w:rsidR="004C026D" w:rsidRPr="0060015D" w:rsidRDefault="004C026D" w:rsidP="004C026D">
      <w:pPr>
        <w:rPr>
          <w:rFonts w:asciiTheme="majorHAnsi" w:eastAsia="Calibri" w:hAnsiTheme="majorHAnsi" w:cstheme="minorHAnsi"/>
          <w:color w:val="136C73"/>
          <w:lang w:val="lt-LT"/>
        </w:rPr>
      </w:pPr>
    </w:p>
    <w:tbl>
      <w:tblPr>
        <w:tblW w:w="0" w:type="auto"/>
        <w:tblLook w:val="01E0" w:firstRow="1" w:lastRow="1" w:firstColumn="1" w:lastColumn="1" w:noHBand="0" w:noVBand="0"/>
      </w:tblPr>
      <w:tblGrid>
        <w:gridCol w:w="460"/>
        <w:gridCol w:w="6848"/>
      </w:tblGrid>
      <w:tr w:rsidR="004C026D" w:rsidRPr="0060015D" w14:paraId="16FEFA55" w14:textId="77777777" w:rsidTr="003E41FC">
        <w:tc>
          <w:tcPr>
            <w:tcW w:w="460" w:type="dxa"/>
            <w:shd w:val="clear" w:color="auto" w:fill="auto"/>
            <w:vAlign w:val="center"/>
          </w:tcPr>
          <w:p w14:paraId="16FEFA53" w14:textId="77777777" w:rsidR="004C026D" w:rsidRPr="0060015D" w:rsidRDefault="004C026D" w:rsidP="003E41FC">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w:t>
            </w:r>
          </w:p>
        </w:tc>
        <w:tc>
          <w:tcPr>
            <w:tcW w:w="6848" w:type="dxa"/>
            <w:shd w:val="clear" w:color="auto" w:fill="auto"/>
          </w:tcPr>
          <w:p w14:paraId="16FEFA54" w14:textId="77777777" w:rsidR="004C026D" w:rsidRPr="0060015D" w:rsidRDefault="004C026D" w:rsidP="003E41FC">
            <w:pPr>
              <w:rPr>
                <w:rFonts w:asciiTheme="majorHAnsi" w:eastAsia="Calibri" w:hAnsiTheme="majorHAnsi" w:cstheme="minorHAnsi"/>
                <w:color w:val="136C73"/>
                <w:lang w:val="lt-LT"/>
              </w:rPr>
            </w:pPr>
            <w:r w:rsidRPr="0060015D">
              <w:rPr>
                <w:rFonts w:asciiTheme="majorHAnsi" w:eastAsia="Calibri" w:hAnsiTheme="majorHAnsi" w:cstheme="minorHAnsi"/>
                <w:color w:val="136C73"/>
                <w:lang w:val="lt-LT"/>
              </w:rPr>
              <w:t>Studijų kokybės vertinimo centras</w:t>
            </w:r>
          </w:p>
        </w:tc>
      </w:tr>
    </w:tbl>
    <w:p w14:paraId="16FEFA56" w14:textId="77777777" w:rsidR="004C026D" w:rsidRDefault="004C026D" w:rsidP="004C026D">
      <w:pPr>
        <w:spacing w:line="276" w:lineRule="auto"/>
        <w:rPr>
          <w:rFonts w:ascii="Cambria" w:eastAsia="Calibri" w:hAnsi="Cambria"/>
          <w:color w:val="136C73"/>
          <w:lang w:val="lt-LT"/>
        </w:rPr>
      </w:pPr>
    </w:p>
    <w:p w14:paraId="16FEFA57" w14:textId="77777777" w:rsidR="004C026D" w:rsidRPr="006D1CFD" w:rsidRDefault="004C026D" w:rsidP="004C026D">
      <w:pPr>
        <w:spacing w:line="276" w:lineRule="auto"/>
        <w:jc w:val="center"/>
        <w:rPr>
          <w:rFonts w:ascii="Cambria" w:eastAsia="Calibri" w:hAnsi="Cambria"/>
          <w:color w:val="136C73"/>
          <w:lang w:val="lt-LT"/>
        </w:rPr>
      </w:pPr>
      <w:r w:rsidRPr="006D1CFD">
        <w:rPr>
          <w:rFonts w:ascii="Cambria" w:eastAsia="Calibri" w:hAnsi="Cambria"/>
          <w:color w:val="136C73"/>
          <w:lang w:val="lt-LT"/>
        </w:rPr>
        <w:t>Vilnius</w:t>
      </w:r>
    </w:p>
    <w:p w14:paraId="16FEFA58" w14:textId="77777777" w:rsidR="004C026D" w:rsidRDefault="004C026D" w:rsidP="004C026D">
      <w:pPr>
        <w:spacing w:line="276" w:lineRule="auto"/>
        <w:jc w:val="center"/>
        <w:rPr>
          <w:rFonts w:ascii="Cambria" w:eastAsia="Calibri" w:hAnsi="Cambria"/>
          <w:color w:val="136C73"/>
          <w:lang w:val="lt-LT"/>
        </w:rPr>
      </w:pPr>
      <w:r w:rsidRPr="006D1CFD">
        <w:rPr>
          <w:rFonts w:ascii="Cambria" w:eastAsia="Calibri" w:hAnsi="Cambria"/>
          <w:color w:val="136C73"/>
          <w:lang w:val="lt-LT"/>
        </w:rPr>
        <w:t>2021</w:t>
      </w:r>
    </w:p>
    <w:p w14:paraId="16FEFA5A" w14:textId="77777777" w:rsidR="004C026D" w:rsidRPr="0060015D" w:rsidRDefault="004C026D" w:rsidP="004C026D">
      <w:pPr>
        <w:spacing w:after="200" w:line="276" w:lineRule="auto"/>
        <w:jc w:val="center"/>
        <w:rPr>
          <w:rFonts w:asciiTheme="majorHAnsi" w:hAnsiTheme="majorHAnsi"/>
          <w:b/>
          <w:color w:val="136C73"/>
          <w:sz w:val="28"/>
          <w:lang w:val="lt-LT" w:eastAsia="en-GB"/>
        </w:rPr>
      </w:pPr>
      <w:r w:rsidRPr="00677F9A">
        <w:rPr>
          <w:rFonts w:ascii="Cambria" w:eastAsia="Calibri" w:hAnsi="Cambria"/>
          <w:b/>
          <w:color w:val="136C73"/>
          <w:sz w:val="28"/>
          <w:szCs w:val="22"/>
          <w:lang w:val="lt-LT"/>
        </w:rPr>
        <w:lastRenderedPageBreak/>
        <w:t xml:space="preserve">Studijų </w:t>
      </w:r>
      <w:r>
        <w:rPr>
          <w:rFonts w:ascii="Cambria" w:eastAsia="Calibri" w:hAnsi="Cambria"/>
          <w:b/>
          <w:color w:val="136C73"/>
          <w:sz w:val="28"/>
          <w:szCs w:val="22"/>
          <w:lang w:val="lt-LT"/>
        </w:rPr>
        <w:t>krypties duomenys</w:t>
      </w:r>
    </w:p>
    <w:tbl>
      <w:tblPr>
        <w:tblStyle w:val="TableGrid"/>
        <w:tblpPr w:leftFromText="180" w:rightFromText="180" w:vertAnchor="text" w:horzAnchor="margin" w:tblpX="-318" w:tblpY="82"/>
        <w:tblW w:w="5000" w:type="pct"/>
        <w:tblLayout w:type="fixed"/>
        <w:tblLook w:val="04A0" w:firstRow="1" w:lastRow="0" w:firstColumn="1" w:lastColumn="0" w:noHBand="0" w:noVBand="1"/>
      </w:tblPr>
      <w:tblGrid>
        <w:gridCol w:w="2942"/>
        <w:gridCol w:w="3262"/>
        <w:gridCol w:w="3650"/>
      </w:tblGrid>
      <w:tr w:rsidR="00B44DDD" w:rsidRPr="0060015D" w14:paraId="16FEFA5E" w14:textId="77777777" w:rsidTr="00E340ED">
        <w:trPr>
          <w:trHeight w:val="510"/>
        </w:trPr>
        <w:tc>
          <w:tcPr>
            <w:tcW w:w="1493" w:type="pct"/>
            <w:shd w:val="clear" w:color="136C73" w:fill="EEECE1" w:themeFill="background2"/>
            <w:vAlign w:val="center"/>
          </w:tcPr>
          <w:p w14:paraId="16FEFA5B" w14:textId="77777777" w:rsidR="00B44DDD" w:rsidRPr="0060015D" w:rsidRDefault="00B44DDD" w:rsidP="003E41FC">
            <w:pPr>
              <w:rPr>
                <w:rFonts w:asciiTheme="majorHAnsi" w:hAnsiTheme="majorHAnsi"/>
                <w:color w:val="136C73"/>
                <w:lang w:val="lt-LT" w:eastAsia="en-GB"/>
              </w:rPr>
            </w:pPr>
            <w:r w:rsidRPr="0060015D">
              <w:rPr>
                <w:rFonts w:asciiTheme="majorHAnsi" w:eastAsia="MS Mincho" w:hAnsiTheme="majorHAnsi"/>
                <w:color w:val="136C73"/>
                <w:lang w:val="lt-LT" w:eastAsia="en-GB"/>
              </w:rPr>
              <w:t>Studijų programos pavadinimas</w:t>
            </w:r>
          </w:p>
        </w:tc>
        <w:tc>
          <w:tcPr>
            <w:tcW w:w="1655" w:type="pct"/>
            <w:shd w:val="clear" w:color="136C73" w:fill="FFFFFF" w:themeFill="background1"/>
            <w:vAlign w:val="center"/>
          </w:tcPr>
          <w:p w14:paraId="16FEFA5C" w14:textId="77777777" w:rsidR="00B44DDD" w:rsidRPr="003C00DC" w:rsidRDefault="00B44DDD" w:rsidP="003E41FC">
            <w:pPr>
              <w:rPr>
                <w:rFonts w:asciiTheme="majorHAnsi" w:hAnsiTheme="majorHAnsi"/>
                <w:i/>
                <w:lang w:val="lt-LT" w:eastAsia="en-GB"/>
              </w:rPr>
            </w:pPr>
            <w:r w:rsidRPr="00B44DDD">
              <w:rPr>
                <w:rFonts w:asciiTheme="majorHAnsi" w:hAnsiTheme="majorHAnsi"/>
                <w:i/>
                <w:lang w:val="lt-LT" w:eastAsia="en-GB"/>
              </w:rPr>
              <w:t>Pastatų energetika</w:t>
            </w:r>
          </w:p>
        </w:tc>
        <w:tc>
          <w:tcPr>
            <w:tcW w:w="1852" w:type="pct"/>
            <w:shd w:val="clear" w:color="136C73" w:fill="FFFFFF" w:themeFill="background1"/>
            <w:vAlign w:val="center"/>
          </w:tcPr>
          <w:p w14:paraId="16FEFA5D" w14:textId="77777777" w:rsidR="00B44DDD" w:rsidRPr="003C00DC" w:rsidRDefault="00E340ED" w:rsidP="003E41FC">
            <w:pPr>
              <w:rPr>
                <w:rFonts w:asciiTheme="majorHAnsi" w:hAnsiTheme="majorHAnsi"/>
                <w:i/>
                <w:lang w:val="lt-LT" w:eastAsia="en-GB"/>
              </w:rPr>
            </w:pPr>
            <w:r w:rsidRPr="00E340ED">
              <w:rPr>
                <w:rFonts w:asciiTheme="majorHAnsi" w:hAnsiTheme="majorHAnsi"/>
                <w:i/>
                <w:lang w:val="lt-LT" w:eastAsia="en-GB"/>
              </w:rPr>
              <w:t>Pastatų energijos inžinerija</w:t>
            </w:r>
          </w:p>
        </w:tc>
      </w:tr>
      <w:tr w:rsidR="00B44DDD" w:rsidRPr="0060015D" w14:paraId="16FEFA62" w14:textId="77777777" w:rsidTr="00E340ED">
        <w:trPr>
          <w:trHeight w:val="510"/>
        </w:trPr>
        <w:tc>
          <w:tcPr>
            <w:tcW w:w="1493" w:type="pct"/>
            <w:shd w:val="clear" w:color="auto" w:fill="EEECE1" w:themeFill="background2"/>
            <w:vAlign w:val="center"/>
          </w:tcPr>
          <w:p w14:paraId="16FEFA5F"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Valstybinis kodas</w:t>
            </w:r>
          </w:p>
        </w:tc>
        <w:tc>
          <w:tcPr>
            <w:tcW w:w="1655" w:type="pct"/>
            <w:vAlign w:val="center"/>
          </w:tcPr>
          <w:p w14:paraId="16FEFA60" w14:textId="77777777" w:rsidR="00B44DDD" w:rsidRPr="003C00DC" w:rsidRDefault="00B44DDD" w:rsidP="00E53437">
            <w:pPr>
              <w:rPr>
                <w:rStyle w:val="fontstyle01"/>
                <w:lang w:val="lt-LT"/>
              </w:rPr>
            </w:pPr>
            <w:r w:rsidRPr="00B44DDD">
              <w:rPr>
                <w:rStyle w:val="fontstyle01"/>
                <w:lang w:val="lt-LT"/>
              </w:rPr>
              <w:t>6121EX053</w:t>
            </w:r>
          </w:p>
        </w:tc>
        <w:tc>
          <w:tcPr>
            <w:tcW w:w="1852" w:type="pct"/>
            <w:vAlign w:val="center"/>
          </w:tcPr>
          <w:p w14:paraId="16FEFA61" w14:textId="77777777" w:rsidR="00B44DDD" w:rsidRPr="0060015D" w:rsidRDefault="00E340ED" w:rsidP="00E53437">
            <w:pPr>
              <w:rPr>
                <w:lang w:val="lt-LT"/>
              </w:rPr>
            </w:pPr>
            <w:r w:rsidRPr="00E340ED">
              <w:rPr>
                <w:lang w:val="lt-LT"/>
              </w:rPr>
              <w:t>6211EX059</w:t>
            </w:r>
          </w:p>
        </w:tc>
      </w:tr>
      <w:tr w:rsidR="00B44DDD" w:rsidRPr="0060015D" w14:paraId="16FEFA66" w14:textId="77777777" w:rsidTr="00E340ED">
        <w:trPr>
          <w:trHeight w:val="510"/>
        </w:trPr>
        <w:tc>
          <w:tcPr>
            <w:tcW w:w="1493" w:type="pct"/>
            <w:shd w:val="clear" w:color="auto" w:fill="EEECE1" w:themeFill="background2"/>
            <w:vAlign w:val="center"/>
          </w:tcPr>
          <w:p w14:paraId="16FEFA63"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rūšis</w:t>
            </w:r>
          </w:p>
        </w:tc>
        <w:tc>
          <w:tcPr>
            <w:tcW w:w="1655" w:type="pct"/>
            <w:vAlign w:val="center"/>
          </w:tcPr>
          <w:p w14:paraId="16FEFA64" w14:textId="77777777" w:rsidR="00B44DDD" w:rsidRPr="0060015D" w:rsidRDefault="00B44DDD" w:rsidP="00E53437">
            <w:pPr>
              <w:rPr>
                <w:rFonts w:asciiTheme="majorHAnsi" w:hAnsiTheme="majorHAnsi"/>
                <w:lang w:val="lt-LT" w:eastAsia="en-GB"/>
              </w:rPr>
            </w:pPr>
            <w:r w:rsidRPr="003C00DC">
              <w:rPr>
                <w:rFonts w:asciiTheme="majorHAnsi" w:hAnsiTheme="majorHAnsi"/>
                <w:lang w:val="lt-LT" w:eastAsia="en-GB"/>
              </w:rPr>
              <w:t>Universitetinės, bakalauro</w:t>
            </w:r>
          </w:p>
        </w:tc>
        <w:tc>
          <w:tcPr>
            <w:tcW w:w="1852" w:type="pct"/>
            <w:vAlign w:val="center"/>
          </w:tcPr>
          <w:p w14:paraId="16FEFA65" w14:textId="77777777" w:rsidR="00B44DDD" w:rsidRPr="0060015D" w:rsidRDefault="00B44DDD" w:rsidP="00E53437">
            <w:pPr>
              <w:rPr>
                <w:rFonts w:asciiTheme="majorHAnsi" w:hAnsiTheme="majorHAnsi"/>
                <w:lang w:val="lt-LT" w:eastAsia="en-GB"/>
              </w:rPr>
            </w:pPr>
            <w:r w:rsidRPr="003C00DC">
              <w:rPr>
                <w:rFonts w:asciiTheme="majorHAnsi" w:hAnsiTheme="majorHAnsi"/>
                <w:lang w:val="lt-LT" w:eastAsia="en-GB"/>
              </w:rPr>
              <w:t>Universitetinės, magistro</w:t>
            </w:r>
          </w:p>
        </w:tc>
      </w:tr>
      <w:tr w:rsidR="00B44DDD" w:rsidRPr="0060015D" w14:paraId="16FEFA6A" w14:textId="77777777" w:rsidTr="00E340ED">
        <w:trPr>
          <w:trHeight w:val="510"/>
        </w:trPr>
        <w:tc>
          <w:tcPr>
            <w:tcW w:w="1493" w:type="pct"/>
            <w:shd w:val="clear" w:color="auto" w:fill="EEECE1" w:themeFill="background2"/>
            <w:vAlign w:val="center"/>
          </w:tcPr>
          <w:p w14:paraId="16FEFA67"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pakopa</w:t>
            </w:r>
          </w:p>
        </w:tc>
        <w:tc>
          <w:tcPr>
            <w:tcW w:w="1655" w:type="pct"/>
            <w:vAlign w:val="center"/>
          </w:tcPr>
          <w:p w14:paraId="16FEFA68" w14:textId="77777777" w:rsidR="00B44DDD" w:rsidRPr="0060015D" w:rsidRDefault="00B44DDD" w:rsidP="00E53437">
            <w:pPr>
              <w:rPr>
                <w:rFonts w:asciiTheme="majorHAnsi" w:hAnsiTheme="majorHAnsi"/>
                <w:lang w:val="lt-LT" w:eastAsia="en-GB"/>
              </w:rPr>
            </w:pPr>
            <w:r w:rsidRPr="003C00DC">
              <w:rPr>
                <w:rFonts w:asciiTheme="majorHAnsi" w:hAnsiTheme="majorHAnsi"/>
                <w:lang w:val="lt-LT" w:eastAsia="en-GB"/>
              </w:rPr>
              <w:t>Pirmoji</w:t>
            </w:r>
          </w:p>
        </w:tc>
        <w:tc>
          <w:tcPr>
            <w:tcW w:w="1852" w:type="pct"/>
            <w:vAlign w:val="center"/>
          </w:tcPr>
          <w:p w14:paraId="16FEFA69" w14:textId="77777777" w:rsidR="00B44DDD" w:rsidRPr="0060015D" w:rsidRDefault="00B44DDD" w:rsidP="00E53437">
            <w:pPr>
              <w:rPr>
                <w:rFonts w:asciiTheme="majorHAnsi" w:hAnsiTheme="majorHAnsi"/>
                <w:lang w:val="lt-LT" w:eastAsia="en-GB"/>
              </w:rPr>
            </w:pPr>
            <w:r>
              <w:rPr>
                <w:rFonts w:asciiTheme="majorHAnsi" w:hAnsiTheme="majorHAnsi"/>
                <w:lang w:val="lt-LT" w:eastAsia="en-GB"/>
              </w:rPr>
              <w:t>Antroji</w:t>
            </w:r>
          </w:p>
        </w:tc>
      </w:tr>
      <w:tr w:rsidR="00B44DDD" w:rsidRPr="0060015D" w14:paraId="16FEFA6E" w14:textId="77777777" w:rsidTr="00E340ED">
        <w:trPr>
          <w:trHeight w:val="510"/>
        </w:trPr>
        <w:tc>
          <w:tcPr>
            <w:tcW w:w="1493" w:type="pct"/>
            <w:shd w:val="clear" w:color="auto" w:fill="EEECE1" w:themeFill="background2"/>
            <w:vAlign w:val="center"/>
          </w:tcPr>
          <w:p w14:paraId="16FEFA6B"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forma (trukmė metais)</w:t>
            </w:r>
          </w:p>
        </w:tc>
        <w:tc>
          <w:tcPr>
            <w:tcW w:w="1655" w:type="pct"/>
            <w:vAlign w:val="center"/>
          </w:tcPr>
          <w:p w14:paraId="16FEFA6C" w14:textId="77777777" w:rsidR="00B44DDD" w:rsidRPr="0060015D" w:rsidRDefault="00E340ED" w:rsidP="00E53437">
            <w:pPr>
              <w:rPr>
                <w:rFonts w:asciiTheme="majorHAnsi" w:hAnsiTheme="majorHAnsi"/>
                <w:lang w:val="lt-LT" w:eastAsia="en-GB"/>
              </w:rPr>
            </w:pPr>
            <w:r>
              <w:rPr>
                <w:rFonts w:asciiTheme="majorHAnsi" w:hAnsiTheme="majorHAnsi"/>
                <w:lang w:val="lt-LT" w:eastAsia="en-GB"/>
              </w:rPr>
              <w:t>Nuolatinė 4 m.</w:t>
            </w:r>
          </w:p>
        </w:tc>
        <w:tc>
          <w:tcPr>
            <w:tcW w:w="1852" w:type="pct"/>
            <w:vAlign w:val="center"/>
          </w:tcPr>
          <w:p w14:paraId="16FEFA6D" w14:textId="77777777" w:rsidR="00B44DDD" w:rsidRPr="0060015D" w:rsidRDefault="00B44DDD" w:rsidP="00E53437">
            <w:pPr>
              <w:rPr>
                <w:rFonts w:asciiTheme="majorHAnsi" w:hAnsiTheme="majorHAnsi"/>
                <w:lang w:val="lt-LT" w:eastAsia="en-GB"/>
              </w:rPr>
            </w:pPr>
            <w:r>
              <w:rPr>
                <w:rFonts w:asciiTheme="majorHAnsi" w:hAnsiTheme="majorHAnsi"/>
                <w:lang w:val="lt-LT" w:eastAsia="en-GB"/>
              </w:rPr>
              <w:t>Nuolatinė</w:t>
            </w:r>
            <w:r w:rsidRPr="003C00DC">
              <w:rPr>
                <w:rFonts w:asciiTheme="majorHAnsi" w:hAnsiTheme="majorHAnsi"/>
                <w:lang w:val="lt-LT" w:eastAsia="en-GB"/>
              </w:rPr>
              <w:t xml:space="preserve"> (2)</w:t>
            </w:r>
          </w:p>
        </w:tc>
      </w:tr>
      <w:tr w:rsidR="00B44DDD" w:rsidRPr="0060015D" w14:paraId="16FEFA72" w14:textId="77777777" w:rsidTr="00E340ED">
        <w:trPr>
          <w:trHeight w:val="510"/>
        </w:trPr>
        <w:tc>
          <w:tcPr>
            <w:tcW w:w="1493" w:type="pct"/>
            <w:shd w:val="clear" w:color="auto" w:fill="EEECE1" w:themeFill="background2"/>
            <w:vAlign w:val="center"/>
          </w:tcPr>
          <w:p w14:paraId="16FEFA6F"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w:t>
            </w:r>
            <w:r>
              <w:rPr>
                <w:rFonts w:asciiTheme="majorHAnsi" w:eastAsia="MS Mincho" w:hAnsiTheme="majorHAnsi"/>
                <w:color w:val="136C73"/>
                <w:lang w:val="lt-LT" w:eastAsia="en-GB"/>
              </w:rPr>
              <w:t>i</w:t>
            </w:r>
            <w:r w:rsidRPr="0060015D">
              <w:rPr>
                <w:rFonts w:asciiTheme="majorHAnsi" w:eastAsia="MS Mincho" w:hAnsiTheme="majorHAnsi"/>
                <w:color w:val="136C73"/>
                <w:lang w:val="lt-LT" w:eastAsia="en-GB"/>
              </w:rPr>
              <w:t>jų programos apimtis kreditais</w:t>
            </w:r>
          </w:p>
        </w:tc>
        <w:tc>
          <w:tcPr>
            <w:tcW w:w="1655" w:type="pct"/>
            <w:vAlign w:val="center"/>
          </w:tcPr>
          <w:p w14:paraId="16FEFA70" w14:textId="77777777" w:rsidR="00B44DDD" w:rsidRPr="0060015D" w:rsidRDefault="00B44DDD" w:rsidP="00E53437">
            <w:pPr>
              <w:rPr>
                <w:rFonts w:asciiTheme="majorHAnsi" w:hAnsiTheme="majorHAnsi"/>
                <w:lang w:val="lt-LT" w:eastAsia="en-GB"/>
              </w:rPr>
            </w:pPr>
            <w:r>
              <w:rPr>
                <w:rFonts w:asciiTheme="majorHAnsi" w:hAnsiTheme="majorHAnsi"/>
                <w:lang w:val="lt-LT" w:eastAsia="en-GB"/>
              </w:rPr>
              <w:t>240</w:t>
            </w:r>
          </w:p>
        </w:tc>
        <w:tc>
          <w:tcPr>
            <w:tcW w:w="1852" w:type="pct"/>
            <w:vAlign w:val="center"/>
          </w:tcPr>
          <w:p w14:paraId="16FEFA71" w14:textId="77777777" w:rsidR="00B44DDD" w:rsidRPr="0060015D" w:rsidRDefault="00B44DDD" w:rsidP="00E53437">
            <w:pPr>
              <w:rPr>
                <w:rFonts w:asciiTheme="majorHAnsi" w:hAnsiTheme="majorHAnsi"/>
                <w:lang w:val="lt-LT" w:eastAsia="en-GB"/>
              </w:rPr>
            </w:pPr>
            <w:r>
              <w:rPr>
                <w:rFonts w:asciiTheme="majorHAnsi" w:hAnsiTheme="majorHAnsi"/>
                <w:lang w:val="lt-LT" w:eastAsia="en-GB"/>
              </w:rPr>
              <w:t>120</w:t>
            </w:r>
          </w:p>
        </w:tc>
      </w:tr>
      <w:tr w:rsidR="00B44DDD" w:rsidRPr="0060015D" w14:paraId="16FEFA76" w14:textId="77777777" w:rsidTr="00E340ED">
        <w:trPr>
          <w:trHeight w:val="510"/>
        </w:trPr>
        <w:tc>
          <w:tcPr>
            <w:tcW w:w="1493" w:type="pct"/>
            <w:shd w:val="clear" w:color="auto" w:fill="EEECE1" w:themeFill="background2"/>
            <w:vAlign w:val="center"/>
          </w:tcPr>
          <w:p w14:paraId="16FEFA73"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Suteikiamas laipsnis ir (ar) profesinė kvalifikacija</w:t>
            </w:r>
          </w:p>
        </w:tc>
        <w:tc>
          <w:tcPr>
            <w:tcW w:w="1655" w:type="pct"/>
            <w:vAlign w:val="center"/>
          </w:tcPr>
          <w:p w14:paraId="16FEFA74" w14:textId="77777777" w:rsidR="00B44DDD" w:rsidRPr="0060015D" w:rsidRDefault="00E340ED" w:rsidP="00E53437">
            <w:pPr>
              <w:rPr>
                <w:rFonts w:asciiTheme="majorHAnsi" w:hAnsiTheme="majorHAnsi"/>
                <w:lang w:val="lt-LT" w:eastAsia="en-GB"/>
              </w:rPr>
            </w:pPr>
            <w:r w:rsidRPr="00E340ED">
              <w:rPr>
                <w:rFonts w:asciiTheme="majorHAnsi" w:hAnsiTheme="majorHAnsi"/>
                <w:lang w:val="lt-LT" w:eastAsia="en-GB"/>
              </w:rPr>
              <w:t>Energijos inžinerijos bakalauras</w:t>
            </w:r>
          </w:p>
        </w:tc>
        <w:tc>
          <w:tcPr>
            <w:tcW w:w="1852" w:type="pct"/>
            <w:vAlign w:val="center"/>
          </w:tcPr>
          <w:p w14:paraId="16FEFA75" w14:textId="77777777" w:rsidR="00B44DDD" w:rsidRPr="0060015D" w:rsidRDefault="00B44DDD" w:rsidP="00E53437">
            <w:pPr>
              <w:rPr>
                <w:rFonts w:asciiTheme="majorHAnsi" w:hAnsiTheme="majorHAnsi"/>
                <w:lang w:val="lt-LT" w:eastAsia="en-GB"/>
              </w:rPr>
            </w:pPr>
            <w:r w:rsidRPr="003C00DC">
              <w:rPr>
                <w:rFonts w:asciiTheme="majorHAnsi" w:hAnsiTheme="majorHAnsi"/>
                <w:lang w:val="lt-LT" w:eastAsia="en-GB"/>
              </w:rPr>
              <w:t>Inžinerijos mokslų magistras</w:t>
            </w:r>
          </w:p>
        </w:tc>
      </w:tr>
      <w:tr w:rsidR="00B44DDD" w:rsidRPr="0060015D" w14:paraId="16FEFA7A" w14:textId="77777777" w:rsidTr="00E340ED">
        <w:trPr>
          <w:trHeight w:val="510"/>
        </w:trPr>
        <w:tc>
          <w:tcPr>
            <w:tcW w:w="1493" w:type="pct"/>
            <w:shd w:val="clear" w:color="auto" w:fill="EEECE1" w:themeFill="background2"/>
            <w:vAlign w:val="center"/>
          </w:tcPr>
          <w:p w14:paraId="16FEFA77"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 xml:space="preserve">Studijų vykdymo kalba </w:t>
            </w:r>
          </w:p>
        </w:tc>
        <w:tc>
          <w:tcPr>
            <w:tcW w:w="1655" w:type="pct"/>
            <w:vAlign w:val="center"/>
          </w:tcPr>
          <w:p w14:paraId="16FEFA78" w14:textId="77777777" w:rsidR="00B44DDD" w:rsidRPr="0060015D" w:rsidRDefault="00B44DDD" w:rsidP="00E53437">
            <w:pPr>
              <w:rPr>
                <w:rFonts w:asciiTheme="majorHAnsi" w:hAnsiTheme="majorHAnsi"/>
                <w:lang w:val="lt-LT" w:eastAsia="en-GB"/>
              </w:rPr>
            </w:pPr>
            <w:r w:rsidRPr="003C00DC">
              <w:rPr>
                <w:rFonts w:asciiTheme="majorHAnsi" w:hAnsiTheme="majorHAnsi"/>
                <w:lang w:val="lt-LT" w:eastAsia="en-GB"/>
              </w:rPr>
              <w:t>lietuvių, anglų</w:t>
            </w:r>
          </w:p>
        </w:tc>
        <w:tc>
          <w:tcPr>
            <w:tcW w:w="1852" w:type="pct"/>
            <w:vAlign w:val="center"/>
          </w:tcPr>
          <w:p w14:paraId="16FEFA79" w14:textId="77777777" w:rsidR="00B44DDD" w:rsidRPr="0060015D" w:rsidRDefault="00B44DDD" w:rsidP="00E53437">
            <w:pPr>
              <w:rPr>
                <w:rFonts w:asciiTheme="majorHAnsi" w:hAnsiTheme="majorHAnsi"/>
                <w:lang w:val="lt-LT" w:eastAsia="en-GB"/>
              </w:rPr>
            </w:pPr>
            <w:r>
              <w:rPr>
                <w:rFonts w:asciiTheme="majorHAnsi" w:hAnsiTheme="majorHAnsi"/>
                <w:lang w:val="lt-LT" w:eastAsia="en-GB"/>
              </w:rPr>
              <w:t>lietuvių</w:t>
            </w:r>
          </w:p>
        </w:tc>
      </w:tr>
      <w:tr w:rsidR="00B44DDD" w:rsidRPr="0060015D" w14:paraId="16FEFA7E" w14:textId="77777777" w:rsidTr="00E340ED">
        <w:trPr>
          <w:trHeight w:val="510"/>
        </w:trPr>
        <w:tc>
          <w:tcPr>
            <w:tcW w:w="1493" w:type="pct"/>
            <w:shd w:val="clear" w:color="auto" w:fill="EEECE1" w:themeFill="background2"/>
            <w:vAlign w:val="center"/>
          </w:tcPr>
          <w:p w14:paraId="16FEFA7B"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Reikalavimai stojantiesiems</w:t>
            </w:r>
          </w:p>
        </w:tc>
        <w:tc>
          <w:tcPr>
            <w:tcW w:w="1655" w:type="pct"/>
            <w:vAlign w:val="center"/>
          </w:tcPr>
          <w:p w14:paraId="16FEFA7C" w14:textId="77777777" w:rsidR="00B44DDD" w:rsidRPr="0060015D" w:rsidRDefault="00B44DDD" w:rsidP="00E53437">
            <w:pPr>
              <w:rPr>
                <w:rFonts w:asciiTheme="majorHAnsi" w:hAnsiTheme="majorHAnsi"/>
                <w:lang w:val="lt-LT" w:eastAsia="en-GB"/>
              </w:rPr>
            </w:pPr>
            <w:r>
              <w:rPr>
                <w:rFonts w:asciiTheme="majorHAnsi" w:hAnsiTheme="majorHAnsi"/>
                <w:lang w:val="lt-LT" w:eastAsia="en-GB"/>
              </w:rPr>
              <w:t>vidurinis išsilavinimas</w:t>
            </w:r>
          </w:p>
        </w:tc>
        <w:tc>
          <w:tcPr>
            <w:tcW w:w="1852" w:type="pct"/>
            <w:vAlign w:val="center"/>
          </w:tcPr>
          <w:p w14:paraId="16FEFA7D" w14:textId="77777777" w:rsidR="00B44DDD" w:rsidRPr="0060015D" w:rsidRDefault="00E340ED" w:rsidP="00E53437">
            <w:pPr>
              <w:rPr>
                <w:rFonts w:asciiTheme="majorHAnsi" w:hAnsiTheme="majorHAnsi"/>
                <w:lang w:val="lt-LT" w:eastAsia="en-GB"/>
              </w:rPr>
            </w:pPr>
            <w:r w:rsidRPr="00E340ED">
              <w:rPr>
                <w:rFonts w:asciiTheme="majorHAnsi" w:hAnsiTheme="majorHAnsi"/>
                <w:lang w:val="lt-LT" w:eastAsia="en-GB"/>
              </w:rPr>
              <w:t>aukštasis universitetinis išsilavinimas</w:t>
            </w:r>
          </w:p>
        </w:tc>
      </w:tr>
      <w:tr w:rsidR="00B44DDD" w:rsidRPr="0060015D" w14:paraId="16FEFA82" w14:textId="77777777" w:rsidTr="00E340ED">
        <w:trPr>
          <w:trHeight w:val="510"/>
        </w:trPr>
        <w:tc>
          <w:tcPr>
            <w:tcW w:w="1493" w:type="pct"/>
            <w:shd w:val="clear" w:color="auto" w:fill="EEECE1" w:themeFill="background2"/>
            <w:vAlign w:val="center"/>
          </w:tcPr>
          <w:p w14:paraId="16FEFA7F" w14:textId="77777777" w:rsidR="00B44DDD" w:rsidRPr="0060015D" w:rsidRDefault="00B44DDD" w:rsidP="003E41FC">
            <w:pPr>
              <w:rPr>
                <w:rFonts w:asciiTheme="majorHAnsi" w:eastAsia="MS Mincho" w:hAnsiTheme="majorHAnsi"/>
                <w:color w:val="136C73"/>
                <w:lang w:val="lt-LT" w:eastAsia="en-GB"/>
              </w:rPr>
            </w:pPr>
            <w:r w:rsidRPr="0060015D">
              <w:rPr>
                <w:rFonts w:asciiTheme="majorHAnsi" w:eastAsia="MS Mincho" w:hAnsiTheme="majorHAnsi"/>
                <w:color w:val="136C73"/>
                <w:lang w:val="lt-LT" w:eastAsia="en-GB"/>
              </w:rPr>
              <w:t>Studijų programos įregistravimo data</w:t>
            </w:r>
          </w:p>
        </w:tc>
        <w:tc>
          <w:tcPr>
            <w:tcW w:w="1655" w:type="pct"/>
            <w:vAlign w:val="center"/>
          </w:tcPr>
          <w:p w14:paraId="16FEFA80" w14:textId="77777777" w:rsidR="00B44DDD" w:rsidRPr="003C00DC" w:rsidRDefault="00E340ED" w:rsidP="00E53437">
            <w:pPr>
              <w:rPr>
                <w:rStyle w:val="fontstyle01"/>
                <w:rFonts w:asciiTheme="majorHAnsi" w:hAnsiTheme="majorHAnsi"/>
                <w:lang w:val="lt-LT"/>
              </w:rPr>
            </w:pPr>
            <w:r w:rsidRPr="00E340ED">
              <w:rPr>
                <w:rStyle w:val="fontstyle01"/>
                <w:rFonts w:asciiTheme="majorHAnsi" w:hAnsiTheme="majorHAnsi"/>
                <w:lang w:val="lt-LT"/>
              </w:rPr>
              <w:t>1997-05-19</w:t>
            </w:r>
          </w:p>
        </w:tc>
        <w:tc>
          <w:tcPr>
            <w:tcW w:w="1852" w:type="pct"/>
            <w:vAlign w:val="center"/>
          </w:tcPr>
          <w:p w14:paraId="16FEFA81" w14:textId="77777777" w:rsidR="00B44DDD" w:rsidRPr="003C00DC" w:rsidRDefault="00E340ED" w:rsidP="00E53437">
            <w:pPr>
              <w:rPr>
                <w:rFonts w:asciiTheme="majorHAnsi" w:hAnsiTheme="majorHAnsi"/>
                <w:lang w:val="lt-LT"/>
              </w:rPr>
            </w:pPr>
            <w:r w:rsidRPr="00E340ED">
              <w:rPr>
                <w:rFonts w:asciiTheme="majorHAnsi" w:hAnsiTheme="majorHAnsi"/>
                <w:lang w:val="lt-LT"/>
              </w:rPr>
              <w:t>1999-04-27</w:t>
            </w:r>
          </w:p>
        </w:tc>
      </w:tr>
    </w:tbl>
    <w:p w14:paraId="16FEFA84" w14:textId="77777777" w:rsidR="004C026D" w:rsidRPr="004C026D" w:rsidRDefault="004C026D" w:rsidP="00216A9E">
      <w:pPr>
        <w:spacing w:before="60" w:after="120" w:line="276" w:lineRule="auto"/>
        <w:ind w:left="-425"/>
        <w:rPr>
          <w:rFonts w:ascii="Calibri" w:eastAsia="Calibri" w:hAnsi="Calibri"/>
          <w:sz w:val="22"/>
          <w:szCs w:val="22"/>
          <w:lang w:val="lt-LT"/>
        </w:rPr>
      </w:pPr>
      <w:r w:rsidRPr="000D4EE3">
        <w:rPr>
          <w:rFonts w:ascii="Calibri" w:eastAsia="Calibri" w:hAnsi="Calibri"/>
          <w:sz w:val="22"/>
          <w:szCs w:val="22"/>
          <w:lang w:val="lt-LT"/>
        </w:rPr>
        <w:t>&lt;...&gt;</w:t>
      </w:r>
    </w:p>
    <w:p w14:paraId="16FEFA85" w14:textId="77777777" w:rsidR="004C026D" w:rsidRPr="00677F9A" w:rsidRDefault="004C026D" w:rsidP="004C026D">
      <w:pPr>
        <w:keepNext/>
        <w:keepLines/>
        <w:tabs>
          <w:tab w:val="left" w:pos="680"/>
        </w:tabs>
        <w:spacing w:before="240" w:after="240"/>
        <w:ind w:left="360"/>
        <w:jc w:val="center"/>
        <w:outlineLvl w:val="1"/>
        <w:rPr>
          <w:rFonts w:ascii="Cambria" w:hAnsi="Cambria"/>
          <w:b/>
          <w:bCs/>
          <w:caps/>
          <w:color w:val="136C73"/>
          <w:sz w:val="36"/>
          <w:szCs w:val="26"/>
          <w:highlight w:val="lightGray"/>
          <w:lang w:val="lt-LT" w:eastAsia="lt-LT"/>
        </w:rPr>
      </w:pPr>
      <w:r w:rsidRPr="00677F9A">
        <w:rPr>
          <w:rFonts w:ascii="Cambria" w:hAnsi="Cambria"/>
          <w:b/>
          <w:bCs/>
          <w:caps/>
          <w:color w:val="136C73"/>
          <w:sz w:val="36"/>
          <w:szCs w:val="26"/>
          <w:lang w:val="lt-LT" w:eastAsia="lt-LT"/>
        </w:rPr>
        <w:t>II. apibendrinamasis ĮVERTINIMAS</w:t>
      </w:r>
    </w:p>
    <w:p w14:paraId="16FEFA86" w14:textId="0624021B" w:rsidR="004C026D" w:rsidRPr="00677F9A" w:rsidRDefault="00CF1AC5" w:rsidP="004C026D">
      <w:pPr>
        <w:jc w:val="both"/>
        <w:rPr>
          <w:rFonts w:ascii="Cambria" w:hAnsi="Cambria"/>
          <w:color w:val="000000"/>
          <w:lang w:val="lt-LT"/>
        </w:rPr>
      </w:pPr>
      <w:r>
        <w:rPr>
          <w:rFonts w:ascii="Cambria" w:hAnsi="Cambria"/>
          <w:lang w:val="lt-LT"/>
        </w:rPr>
        <w:t>Pirmos pakopos Energijos</w:t>
      </w:r>
      <w:r w:rsidR="004C026D">
        <w:rPr>
          <w:rFonts w:ascii="Cambria" w:hAnsi="Cambria"/>
          <w:lang w:val="lt-LT"/>
        </w:rPr>
        <w:t xml:space="preserve"> inžinerijos</w:t>
      </w:r>
      <w:r w:rsidR="004C026D" w:rsidRPr="00677F9A">
        <w:rPr>
          <w:rFonts w:ascii="Cambria" w:hAnsi="Cambria"/>
          <w:lang w:val="lt-LT"/>
        </w:rPr>
        <w:t xml:space="preserve"> krypti</w:t>
      </w:r>
      <w:r w:rsidR="004C026D">
        <w:rPr>
          <w:rFonts w:ascii="Cambria" w:hAnsi="Cambria"/>
          <w:lang w:val="lt-LT"/>
        </w:rPr>
        <w:t xml:space="preserve">es studijos </w:t>
      </w:r>
      <w:r w:rsidR="00CE0C67">
        <w:rPr>
          <w:rFonts w:ascii="Cambria" w:hAnsi="Cambria"/>
          <w:lang w:val="lt-LT"/>
        </w:rPr>
        <w:t>Vilniaus Gedimino technikos universitete</w:t>
      </w:r>
      <w:r w:rsidR="004C026D" w:rsidRPr="00677F9A">
        <w:rPr>
          <w:rFonts w:ascii="Cambria" w:hAnsi="Cambria"/>
          <w:i/>
          <w:lang w:val="lt-LT"/>
        </w:rPr>
        <w:t xml:space="preserve"> </w:t>
      </w:r>
      <w:r w:rsidR="004C026D" w:rsidRPr="00677F9A">
        <w:rPr>
          <w:rFonts w:ascii="Cambria" w:hAnsi="Cambria"/>
          <w:color w:val="000000"/>
          <w:lang w:val="lt-LT"/>
        </w:rPr>
        <w:t xml:space="preserve">vertinamos </w:t>
      </w:r>
      <w:r w:rsidR="004C026D">
        <w:rPr>
          <w:rFonts w:ascii="Cambria" w:hAnsi="Cambria"/>
          <w:color w:val="000000"/>
          <w:u w:val="single"/>
          <w:lang w:val="lt-LT"/>
        </w:rPr>
        <w:t>teigiamai</w:t>
      </w:r>
      <w:r w:rsidR="004C026D" w:rsidRPr="00677F9A">
        <w:rPr>
          <w:rFonts w:ascii="Cambria" w:hAnsi="Cambria"/>
          <w:color w:val="000000"/>
          <w:u w:val="single"/>
          <w:lang w:val="lt-LT"/>
        </w:rPr>
        <w:t>.</w:t>
      </w:r>
      <w:r w:rsidR="004C026D" w:rsidRPr="00677F9A">
        <w:rPr>
          <w:rFonts w:ascii="Cambria" w:hAnsi="Cambria"/>
          <w:color w:val="000000"/>
          <w:lang w:val="lt-LT"/>
        </w:rPr>
        <w:t xml:space="preserve"> </w:t>
      </w:r>
    </w:p>
    <w:p w14:paraId="16FEFA87" w14:textId="77777777" w:rsidR="004C026D" w:rsidRPr="00677F9A" w:rsidRDefault="004C026D" w:rsidP="004C026D">
      <w:pPr>
        <w:jc w:val="both"/>
        <w:rPr>
          <w:rFonts w:ascii="Cambria" w:hAnsi="Cambria"/>
          <w:color w:val="000000"/>
          <w:lang w:val="lt-LT"/>
        </w:rPr>
      </w:pPr>
    </w:p>
    <w:p w14:paraId="16FEFA88" w14:textId="77777777" w:rsidR="004C026D" w:rsidRPr="00677F9A" w:rsidRDefault="004C026D" w:rsidP="004C026D">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52"/>
        <w:gridCol w:w="6856"/>
        <w:gridCol w:w="1790"/>
      </w:tblGrid>
      <w:tr w:rsidR="004C026D" w:rsidRPr="00677F9A" w14:paraId="16FEFA8E" w14:textId="77777777" w:rsidTr="00CE0C67">
        <w:trPr>
          <w:trHeight w:val="60"/>
        </w:trPr>
        <w:tc>
          <w:tcPr>
            <w:tcW w:w="85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16FEFA89" w14:textId="77777777" w:rsidR="004C026D" w:rsidRPr="00CE0C67" w:rsidRDefault="004C026D" w:rsidP="00CE0C67">
            <w:pPr>
              <w:jc w:val="center"/>
              <w:rPr>
                <w:rFonts w:ascii="Cambria" w:eastAsia="Calibri" w:hAnsi="Cambria"/>
                <w:b/>
                <w:color w:val="632423"/>
                <w:lang w:eastAsia="lt-LT"/>
              </w:rPr>
            </w:pPr>
            <w:r w:rsidRPr="00CE0C67">
              <w:rPr>
                <w:rFonts w:ascii="Cambria" w:eastAsia="Calibri" w:hAnsi="Cambria"/>
                <w:b/>
                <w:color w:val="632423"/>
                <w:lang w:eastAsia="lt-LT"/>
              </w:rPr>
              <w:t>Eil.</w:t>
            </w:r>
          </w:p>
          <w:p w14:paraId="16FEFA8A" w14:textId="77777777" w:rsidR="004C026D" w:rsidRPr="00CE0C67" w:rsidRDefault="004C026D" w:rsidP="00CE0C67">
            <w:pPr>
              <w:spacing w:line="60" w:lineRule="atLeast"/>
              <w:jc w:val="center"/>
              <w:rPr>
                <w:rFonts w:ascii="Cambria" w:eastAsia="Calibri" w:hAnsi="Cambria"/>
                <w:b/>
                <w:color w:val="632423"/>
                <w:lang w:eastAsia="lt-LT"/>
              </w:rPr>
            </w:pPr>
            <w:r w:rsidRPr="00CE0C67">
              <w:rPr>
                <w:rFonts w:ascii="Cambria" w:eastAsia="Calibri" w:hAnsi="Cambria"/>
                <w:b/>
                <w:color w:val="632423"/>
                <w:lang w:eastAsia="lt-LT"/>
              </w:rPr>
              <w:t>Nr.</w:t>
            </w:r>
          </w:p>
        </w:tc>
        <w:tc>
          <w:tcPr>
            <w:tcW w:w="685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16FEFA8B" w14:textId="77777777" w:rsidR="004C026D" w:rsidRPr="00CE0C67" w:rsidRDefault="004C026D" w:rsidP="00CE0C67">
            <w:pPr>
              <w:spacing w:before="100" w:beforeAutospacing="1" w:afterAutospacing="1"/>
              <w:jc w:val="center"/>
              <w:rPr>
                <w:rFonts w:ascii="Cambria" w:eastAsia="Calibri" w:hAnsi="Cambria"/>
                <w:b/>
                <w:color w:val="632423"/>
                <w:lang w:eastAsia="lt-LT"/>
              </w:rPr>
            </w:pPr>
            <w:r w:rsidRPr="00CE0C67">
              <w:rPr>
                <w:rFonts w:ascii="Cambria" w:eastAsia="Calibri" w:hAnsi="Cambria"/>
                <w:b/>
                <w:color w:val="632423"/>
                <w:lang w:eastAsia="lt-LT"/>
              </w:rPr>
              <w:t>Vertinimo sritis</w:t>
            </w:r>
          </w:p>
          <w:p w14:paraId="16FEFA8C" w14:textId="77777777" w:rsidR="004C026D" w:rsidRPr="00CE0C67" w:rsidRDefault="004C026D" w:rsidP="00CE0C67">
            <w:pPr>
              <w:spacing w:before="100" w:beforeAutospacing="1" w:afterAutospacing="1" w:line="60" w:lineRule="atLeast"/>
              <w:jc w:val="center"/>
              <w:rPr>
                <w:rFonts w:ascii="Cambria" w:eastAsia="Calibri" w:hAnsi="Cambria"/>
                <w:b/>
                <w:color w:val="632423"/>
                <w:lang w:eastAsia="lt-LT"/>
              </w:rPr>
            </w:pPr>
            <w:r w:rsidRPr="00CE0C67">
              <w:rPr>
                <w:rFonts w:ascii="Cambria" w:eastAsia="Calibri" w:hAnsi="Cambria"/>
                <w:b/>
                <w:color w:val="632423"/>
                <w:lang w:eastAsia="lt-LT"/>
              </w:rPr>
              <w:t> </w:t>
            </w:r>
          </w:p>
        </w:tc>
        <w:tc>
          <w:tcPr>
            <w:tcW w:w="1790"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16FEFA8D" w14:textId="77777777" w:rsidR="004C026D" w:rsidRPr="00CE0C67" w:rsidRDefault="004C026D" w:rsidP="00CE0C67">
            <w:pPr>
              <w:spacing w:before="100" w:beforeAutospacing="1" w:afterAutospacing="1"/>
              <w:jc w:val="center"/>
              <w:rPr>
                <w:rFonts w:ascii="Cambria" w:eastAsia="Calibri" w:hAnsi="Cambria"/>
                <w:b/>
                <w:color w:val="632423"/>
                <w:lang w:eastAsia="lt-LT"/>
              </w:rPr>
            </w:pPr>
            <w:r w:rsidRPr="00CE0C67">
              <w:rPr>
                <w:rFonts w:ascii="Cambria" w:eastAsia="Calibri" w:hAnsi="Cambria"/>
                <w:b/>
                <w:color w:val="632423"/>
                <w:lang w:eastAsia="lt-LT"/>
              </w:rPr>
              <w:t>Srities įvertinimas, balais</w:t>
            </w:r>
          </w:p>
        </w:tc>
      </w:tr>
      <w:tr w:rsidR="00AE29A2" w:rsidRPr="00677F9A" w14:paraId="16FEFA92"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8F"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1.</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90"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Studijų tikslai, rezultatai ir turinys</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91"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96"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93"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2.</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94"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Mokslo (meno) ir studijų veiklos sąsajos</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95"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4</w:t>
            </w:r>
          </w:p>
        </w:tc>
      </w:tr>
      <w:tr w:rsidR="00AE29A2" w:rsidRPr="00677F9A" w14:paraId="16FEFA9A"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97"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3.</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98"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Studentų priėmimas ir parama</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99"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9E"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9B"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4.</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9C"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Studijavimas, studijų pasiekimais ir absolventų užimtumas</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9D"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4</w:t>
            </w:r>
          </w:p>
        </w:tc>
      </w:tr>
      <w:tr w:rsidR="00AE29A2" w:rsidRPr="00677F9A" w14:paraId="16FEFAA2"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9F"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5.</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A0"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Dėstytojai</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A1"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4</w:t>
            </w:r>
          </w:p>
        </w:tc>
      </w:tr>
      <w:tr w:rsidR="00AE29A2" w:rsidRPr="00677F9A" w14:paraId="16FEFAA6"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A3"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6.</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A4"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Studijų materialieji ištekliai</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A5"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AA"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A7"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7.</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A8"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Studijų kokybės valdymas ir viešinimas</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A9"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AE" w14:textId="77777777" w:rsidTr="00CE0C67">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AB" w14:textId="77777777" w:rsidR="00AE29A2" w:rsidRPr="00CE0C67" w:rsidRDefault="00AE29A2" w:rsidP="00CE0C67">
            <w:pPr>
              <w:rPr>
                <w:rFonts w:ascii="Cambria" w:eastAsia="Calibri" w:hAnsi="Cambria"/>
                <w:lang w:eastAsia="lt-LT"/>
              </w:rPr>
            </w:pP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AC"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Iš viso: </w:t>
            </w:r>
          </w:p>
        </w:tc>
        <w:tc>
          <w:tcPr>
            <w:tcW w:w="17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AD"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24</w:t>
            </w:r>
          </w:p>
        </w:tc>
      </w:tr>
    </w:tbl>
    <w:p w14:paraId="16FEFAAF" w14:textId="77777777" w:rsidR="004C026D" w:rsidRPr="00677F9A" w:rsidRDefault="004C026D" w:rsidP="004C026D">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Nepatenkinamai (sritis netenkina minimalių reikalavimų, yra esminių trūkumų, dėl kurių krypties studijos negali būti vykdomos)</w:t>
      </w:r>
    </w:p>
    <w:p w14:paraId="16FEFAB0" w14:textId="77777777" w:rsidR="004C026D" w:rsidRPr="00677F9A" w:rsidRDefault="004C026D" w:rsidP="004C026D">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Patenkinamai (sritis tenkina minimalius reikalavimus, yra esminių trūkumų, kuriuos būtina pašalinti)</w:t>
      </w:r>
    </w:p>
    <w:p w14:paraId="16FEFAB1" w14:textId="77777777" w:rsidR="004C026D" w:rsidRPr="00677F9A" w:rsidRDefault="004C026D" w:rsidP="004C026D">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Gerai (sritis plėtojama sistemiškai, be esminių trūkumų)</w:t>
      </w:r>
    </w:p>
    <w:p w14:paraId="16FEFAB2" w14:textId="77777777" w:rsidR="004C026D" w:rsidRPr="00677F9A" w:rsidRDefault="004C026D" w:rsidP="004C026D">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lastRenderedPageBreak/>
        <w:t>Labai gerai (sritis vertinama labai gerai nacionaliniame kontekste ir tarptautinėje erdvėje, be jokių trūkumų)</w:t>
      </w:r>
    </w:p>
    <w:p w14:paraId="16FEFAB3" w14:textId="77777777" w:rsidR="004C026D" w:rsidRPr="00677F9A" w:rsidRDefault="004C026D" w:rsidP="004C026D">
      <w:pPr>
        <w:numPr>
          <w:ilvl w:val="1"/>
          <w:numId w:val="3"/>
        </w:numPr>
        <w:tabs>
          <w:tab w:val="num" w:pos="360"/>
        </w:tabs>
        <w:spacing w:before="100" w:beforeAutospacing="1" w:after="100" w:afterAutospacing="1" w:line="276" w:lineRule="auto"/>
        <w:ind w:left="181" w:firstLine="0"/>
        <w:jc w:val="both"/>
        <w:rPr>
          <w:rFonts w:ascii="Cambria" w:hAnsi="Cambria"/>
          <w:sz w:val="20"/>
          <w:szCs w:val="20"/>
          <w:lang w:val="lt-LT"/>
        </w:rPr>
      </w:pPr>
      <w:r w:rsidRPr="00677F9A">
        <w:rPr>
          <w:rFonts w:ascii="Cambria" w:hAnsi="Cambria"/>
          <w:sz w:val="20"/>
          <w:szCs w:val="20"/>
          <w:lang w:val="lt-LT"/>
        </w:rPr>
        <w:t>Išskirtinės kokybės (sritis vertinama išskirtinai gerai nacionaliniame kontekste ir tarptautinėje erdvėje)</w:t>
      </w:r>
    </w:p>
    <w:p w14:paraId="16FEFAB4" w14:textId="06FE2708" w:rsidR="004C026D" w:rsidRPr="00677F9A" w:rsidRDefault="00CF1AC5" w:rsidP="004C026D">
      <w:pPr>
        <w:jc w:val="both"/>
        <w:rPr>
          <w:rFonts w:ascii="Cambria" w:hAnsi="Cambria"/>
          <w:color w:val="000000"/>
          <w:lang w:val="lt-LT"/>
        </w:rPr>
      </w:pPr>
      <w:r>
        <w:rPr>
          <w:rFonts w:ascii="Cambria" w:hAnsi="Cambria"/>
          <w:lang w:val="lt-LT"/>
        </w:rPr>
        <w:t>Antros pakopos Energijos</w:t>
      </w:r>
      <w:r w:rsidR="004C026D">
        <w:rPr>
          <w:rFonts w:ascii="Cambria" w:hAnsi="Cambria"/>
          <w:lang w:val="lt-LT"/>
        </w:rPr>
        <w:t xml:space="preserve"> inžinerijos</w:t>
      </w:r>
      <w:r w:rsidR="004C026D" w:rsidRPr="00677F9A">
        <w:rPr>
          <w:rFonts w:ascii="Cambria" w:hAnsi="Cambria"/>
          <w:lang w:val="lt-LT"/>
        </w:rPr>
        <w:t xml:space="preserve"> krypti</w:t>
      </w:r>
      <w:r w:rsidR="00CE0C67">
        <w:rPr>
          <w:rFonts w:ascii="Cambria" w:hAnsi="Cambria"/>
          <w:lang w:val="lt-LT"/>
        </w:rPr>
        <w:t>es studijos Vilniaus Gedimino technikos</w:t>
      </w:r>
      <w:r w:rsidR="004C026D">
        <w:rPr>
          <w:rFonts w:ascii="Cambria" w:hAnsi="Cambria"/>
          <w:lang w:val="lt-LT"/>
        </w:rPr>
        <w:t xml:space="preserve"> universitete</w:t>
      </w:r>
      <w:r w:rsidR="004C026D" w:rsidRPr="00677F9A">
        <w:rPr>
          <w:rFonts w:ascii="Cambria" w:hAnsi="Cambria"/>
          <w:i/>
          <w:lang w:val="lt-LT"/>
        </w:rPr>
        <w:t xml:space="preserve"> </w:t>
      </w:r>
      <w:r w:rsidR="004C026D" w:rsidRPr="00677F9A">
        <w:rPr>
          <w:rFonts w:ascii="Cambria" w:hAnsi="Cambria"/>
          <w:color w:val="000000"/>
          <w:lang w:val="lt-LT"/>
        </w:rPr>
        <w:t xml:space="preserve">vertinamos </w:t>
      </w:r>
      <w:r w:rsidR="004C026D">
        <w:rPr>
          <w:rFonts w:ascii="Cambria" w:hAnsi="Cambria"/>
          <w:color w:val="000000"/>
          <w:u w:val="single"/>
          <w:lang w:val="lt-LT"/>
        </w:rPr>
        <w:t>teigiamai</w:t>
      </w:r>
      <w:r w:rsidR="004C026D" w:rsidRPr="00677F9A">
        <w:rPr>
          <w:rFonts w:ascii="Cambria" w:hAnsi="Cambria"/>
          <w:color w:val="000000"/>
          <w:u w:val="single"/>
          <w:lang w:val="lt-LT"/>
        </w:rPr>
        <w:t>.</w:t>
      </w:r>
      <w:r w:rsidR="004C026D" w:rsidRPr="00677F9A">
        <w:rPr>
          <w:rFonts w:ascii="Cambria" w:hAnsi="Cambria"/>
          <w:color w:val="000000"/>
          <w:lang w:val="lt-LT"/>
        </w:rPr>
        <w:t xml:space="preserve"> </w:t>
      </w:r>
    </w:p>
    <w:p w14:paraId="16FEFAB5" w14:textId="77777777" w:rsidR="004C026D" w:rsidRPr="00677F9A" w:rsidRDefault="004C026D" w:rsidP="004C026D">
      <w:pPr>
        <w:jc w:val="both"/>
        <w:rPr>
          <w:rFonts w:ascii="Cambria" w:hAnsi="Cambria"/>
          <w:color w:val="000000"/>
          <w:lang w:val="lt-LT"/>
        </w:rPr>
      </w:pPr>
    </w:p>
    <w:p w14:paraId="16FEFAB6" w14:textId="77777777" w:rsidR="004C026D" w:rsidRPr="00677F9A" w:rsidRDefault="004C026D" w:rsidP="004C026D">
      <w:pPr>
        <w:spacing w:after="200" w:line="276" w:lineRule="auto"/>
        <w:rPr>
          <w:rFonts w:ascii="Cambria" w:eastAsia="Calibri" w:hAnsi="Cambria"/>
          <w:i/>
          <w:szCs w:val="22"/>
          <w:lang w:val="lt-LT" w:eastAsia="lt-LT"/>
        </w:rPr>
      </w:pPr>
      <w:r w:rsidRPr="00677F9A">
        <w:rPr>
          <w:rFonts w:ascii="Cambria" w:eastAsia="Calibri" w:hAnsi="Cambria"/>
          <w:i/>
          <w:szCs w:val="22"/>
          <w:lang w:val="lt-LT" w:eastAsia="lt-LT"/>
        </w:rPr>
        <w:t>Studijų krypties ir  pakopos įvertinimas pagal vertinamąsias sritis.</w:t>
      </w:r>
    </w:p>
    <w:tbl>
      <w:tblPr>
        <w:tblW w:w="0" w:type="auto"/>
        <w:tblInd w:w="108" w:type="dxa"/>
        <w:tblCellMar>
          <w:left w:w="0" w:type="dxa"/>
          <w:right w:w="0" w:type="dxa"/>
        </w:tblCellMar>
        <w:tblLook w:val="0000" w:firstRow="0" w:lastRow="0" w:firstColumn="0" w:lastColumn="0" w:noHBand="0" w:noVBand="0"/>
      </w:tblPr>
      <w:tblGrid>
        <w:gridCol w:w="852"/>
        <w:gridCol w:w="6856"/>
        <w:gridCol w:w="2038"/>
      </w:tblGrid>
      <w:tr w:rsidR="004C026D" w:rsidRPr="00677F9A" w14:paraId="16FEFABC" w14:textId="77777777" w:rsidTr="003E41FC">
        <w:trPr>
          <w:trHeight w:val="60"/>
        </w:trPr>
        <w:tc>
          <w:tcPr>
            <w:tcW w:w="85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16FEFAB7" w14:textId="77777777" w:rsidR="004C026D" w:rsidRPr="00CE0C67" w:rsidRDefault="004C026D" w:rsidP="00CE0C67">
            <w:pPr>
              <w:jc w:val="center"/>
              <w:rPr>
                <w:rFonts w:ascii="Cambria" w:eastAsia="Calibri" w:hAnsi="Cambria"/>
                <w:b/>
                <w:color w:val="632423"/>
                <w:lang w:eastAsia="lt-LT"/>
              </w:rPr>
            </w:pPr>
            <w:r w:rsidRPr="00CE0C67">
              <w:rPr>
                <w:rFonts w:ascii="Cambria" w:eastAsia="Calibri" w:hAnsi="Cambria"/>
                <w:b/>
                <w:color w:val="632423"/>
                <w:lang w:eastAsia="lt-LT"/>
              </w:rPr>
              <w:t>Eil.</w:t>
            </w:r>
          </w:p>
          <w:p w14:paraId="16FEFAB8" w14:textId="77777777" w:rsidR="004C026D" w:rsidRPr="00CE0C67" w:rsidRDefault="004C026D" w:rsidP="00CE0C67">
            <w:pPr>
              <w:spacing w:line="60" w:lineRule="atLeast"/>
              <w:jc w:val="center"/>
              <w:rPr>
                <w:rFonts w:ascii="Cambria" w:eastAsia="Calibri" w:hAnsi="Cambria"/>
                <w:b/>
                <w:color w:val="632423"/>
                <w:lang w:eastAsia="lt-LT"/>
              </w:rPr>
            </w:pPr>
            <w:r w:rsidRPr="00CE0C67">
              <w:rPr>
                <w:rFonts w:ascii="Cambria" w:eastAsia="Calibri" w:hAnsi="Cambria"/>
                <w:b/>
                <w:color w:val="632423"/>
                <w:lang w:eastAsia="lt-LT"/>
              </w:rPr>
              <w:t>Nr.</w:t>
            </w:r>
          </w:p>
        </w:tc>
        <w:tc>
          <w:tcPr>
            <w:tcW w:w="685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16FEFAB9" w14:textId="77777777" w:rsidR="004C026D" w:rsidRPr="00CE0C67" w:rsidRDefault="004C026D" w:rsidP="00CE0C67">
            <w:pPr>
              <w:spacing w:before="100" w:beforeAutospacing="1" w:afterAutospacing="1"/>
              <w:jc w:val="center"/>
              <w:rPr>
                <w:rFonts w:ascii="Cambria" w:eastAsia="Calibri" w:hAnsi="Cambria"/>
                <w:b/>
                <w:color w:val="632423"/>
                <w:lang w:eastAsia="lt-LT"/>
              </w:rPr>
            </w:pPr>
            <w:r w:rsidRPr="00CE0C67">
              <w:rPr>
                <w:rFonts w:ascii="Cambria" w:eastAsia="Calibri" w:hAnsi="Cambria"/>
                <w:b/>
                <w:color w:val="632423"/>
                <w:lang w:eastAsia="lt-LT"/>
              </w:rPr>
              <w:t>Vertinimo sritis</w:t>
            </w:r>
          </w:p>
          <w:p w14:paraId="16FEFABA" w14:textId="77777777" w:rsidR="004C026D" w:rsidRPr="00CE0C67" w:rsidRDefault="004C026D" w:rsidP="00CE0C67">
            <w:pPr>
              <w:spacing w:before="100" w:beforeAutospacing="1" w:afterAutospacing="1" w:line="60" w:lineRule="atLeast"/>
              <w:jc w:val="center"/>
              <w:rPr>
                <w:rFonts w:ascii="Cambria" w:eastAsia="Calibri" w:hAnsi="Cambria"/>
                <w:b/>
                <w:color w:val="632423"/>
                <w:lang w:eastAsia="lt-LT"/>
              </w:rPr>
            </w:pPr>
            <w:r w:rsidRPr="00CE0C67">
              <w:rPr>
                <w:rFonts w:ascii="Cambria" w:eastAsia="Calibri" w:hAnsi="Cambria"/>
                <w:b/>
                <w:color w:val="632423"/>
                <w:lang w:eastAsia="lt-LT"/>
              </w:rPr>
              <w:t> </w:t>
            </w:r>
          </w:p>
        </w:tc>
        <w:tc>
          <w:tcPr>
            <w:tcW w:w="2038"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16FEFABB" w14:textId="77777777" w:rsidR="004C026D" w:rsidRPr="00CE0C67" w:rsidRDefault="004C026D" w:rsidP="00CE0C67">
            <w:pPr>
              <w:spacing w:before="100" w:beforeAutospacing="1" w:afterAutospacing="1"/>
              <w:jc w:val="center"/>
              <w:rPr>
                <w:rFonts w:ascii="Cambria" w:eastAsia="Calibri" w:hAnsi="Cambria"/>
                <w:b/>
                <w:color w:val="632423"/>
                <w:lang w:eastAsia="lt-LT"/>
              </w:rPr>
            </w:pPr>
            <w:r w:rsidRPr="00CE0C67">
              <w:rPr>
                <w:rFonts w:ascii="Cambria" w:eastAsia="Calibri" w:hAnsi="Cambria"/>
                <w:b/>
                <w:color w:val="632423"/>
                <w:lang w:eastAsia="lt-LT"/>
              </w:rPr>
              <w:t>Srities įvertinimas, balais</w:t>
            </w:r>
          </w:p>
        </w:tc>
      </w:tr>
      <w:tr w:rsidR="00AE29A2" w:rsidRPr="00677F9A" w14:paraId="16FEFAC0"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BD"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1.</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BE"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Studijų tikslai, rezultatai ir turinys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BF"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C4"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C1"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2.</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C2"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Mokslo (meno) ir studijų veiklos sąsajos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C3"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4</w:t>
            </w:r>
          </w:p>
        </w:tc>
      </w:tr>
      <w:tr w:rsidR="00AE29A2" w:rsidRPr="00677F9A" w14:paraId="16FEFAC8"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C5"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3.</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C6"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Studentų priėmimas ir parama</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C7"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CC"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C9"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4.</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CA"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Studijavimas, studijų pasiekimais ir absolventų užimtumas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CB"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4</w:t>
            </w:r>
          </w:p>
        </w:tc>
      </w:tr>
      <w:tr w:rsidR="00AE29A2" w:rsidRPr="00677F9A" w14:paraId="16FEFAD0"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CD"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5.</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CE"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Dėstytojai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CF"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4</w:t>
            </w:r>
          </w:p>
        </w:tc>
      </w:tr>
      <w:tr w:rsidR="00AE29A2" w:rsidRPr="00677F9A" w14:paraId="16FEFAD4"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D1"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6.</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D2"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Studijų materialieji ištekliai</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D3"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D8"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D5"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7.</w:t>
            </w: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D6"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Studijų kokybės valdymas ir viešinimas</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D7"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3</w:t>
            </w:r>
          </w:p>
        </w:tc>
      </w:tr>
      <w:tr w:rsidR="00AE29A2" w:rsidRPr="00677F9A" w14:paraId="16FEFADC" w14:textId="77777777" w:rsidTr="00993BD5">
        <w:trPr>
          <w:trHeight w:val="60"/>
        </w:trPr>
        <w:tc>
          <w:tcPr>
            <w:tcW w:w="852"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16FEFAD9" w14:textId="77777777" w:rsidR="00AE29A2" w:rsidRPr="00CE0C67" w:rsidRDefault="00AE29A2" w:rsidP="00CE0C67">
            <w:pPr>
              <w:rPr>
                <w:rFonts w:ascii="Cambria" w:eastAsia="Calibri" w:hAnsi="Cambria"/>
                <w:lang w:eastAsia="lt-LT"/>
              </w:rPr>
            </w:pPr>
          </w:p>
        </w:tc>
        <w:tc>
          <w:tcPr>
            <w:tcW w:w="6856" w:type="dxa"/>
            <w:tcBorders>
              <w:top w:val="nil"/>
              <w:left w:val="nil"/>
              <w:bottom w:val="single" w:sz="8" w:space="0" w:color="000000"/>
              <w:right w:val="single" w:sz="8" w:space="0" w:color="000000"/>
            </w:tcBorders>
            <w:tcMar>
              <w:top w:w="28" w:type="dxa"/>
              <w:left w:w="108" w:type="dxa"/>
              <w:bottom w:w="28" w:type="dxa"/>
              <w:right w:w="108" w:type="dxa"/>
            </w:tcMar>
          </w:tcPr>
          <w:p w14:paraId="16FEFADA" w14:textId="77777777" w:rsidR="00AE29A2" w:rsidRPr="00CE0C67" w:rsidRDefault="00AE29A2" w:rsidP="00CE0C67">
            <w:pPr>
              <w:rPr>
                <w:rFonts w:ascii="Cambria" w:eastAsia="Calibri" w:hAnsi="Cambria"/>
                <w:lang w:eastAsia="lt-LT"/>
              </w:rPr>
            </w:pPr>
            <w:r w:rsidRPr="00CE0C67">
              <w:rPr>
                <w:rFonts w:ascii="Cambria" w:eastAsia="Calibri" w:hAnsi="Cambria"/>
                <w:lang w:eastAsia="lt-LT"/>
              </w:rPr>
              <w:t>Iš viso: </w:t>
            </w:r>
          </w:p>
        </w:tc>
        <w:tc>
          <w:tcPr>
            <w:tcW w:w="2038"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6FEFADB" w14:textId="77777777" w:rsidR="00AE29A2" w:rsidRPr="00CE0C67" w:rsidRDefault="00AE29A2" w:rsidP="00CE0C67">
            <w:pPr>
              <w:jc w:val="center"/>
              <w:rPr>
                <w:rFonts w:ascii="Cambria" w:eastAsia="Calibri" w:hAnsi="Cambria"/>
                <w:lang w:eastAsia="lt-LT"/>
              </w:rPr>
            </w:pPr>
            <w:r w:rsidRPr="00CE0C67">
              <w:rPr>
                <w:rFonts w:ascii="Cambria" w:eastAsia="Calibri" w:hAnsi="Cambria"/>
                <w:lang w:eastAsia="lt-LT"/>
              </w:rPr>
              <w:t>24</w:t>
            </w:r>
          </w:p>
        </w:tc>
      </w:tr>
    </w:tbl>
    <w:p w14:paraId="16FEFADD" w14:textId="77777777" w:rsidR="004C026D" w:rsidRDefault="004C026D" w:rsidP="004C026D">
      <w:pPr>
        <w:tabs>
          <w:tab w:val="num" w:pos="1080"/>
        </w:tabs>
        <w:spacing w:line="276" w:lineRule="auto"/>
        <w:jc w:val="both"/>
        <w:rPr>
          <w:rFonts w:ascii="Cambria" w:hAnsi="Cambria"/>
          <w:sz w:val="20"/>
          <w:szCs w:val="20"/>
          <w:lang w:val="lt-LT"/>
        </w:rPr>
      </w:pPr>
    </w:p>
    <w:p w14:paraId="16FEFADE" w14:textId="77777777" w:rsidR="004C026D" w:rsidRDefault="004C026D" w:rsidP="004C026D">
      <w:pPr>
        <w:tabs>
          <w:tab w:val="num" w:pos="1080"/>
        </w:tabs>
        <w:spacing w:line="276" w:lineRule="auto"/>
        <w:ind w:left="284"/>
        <w:jc w:val="both"/>
        <w:rPr>
          <w:rFonts w:ascii="Cambria" w:hAnsi="Cambria"/>
          <w:sz w:val="20"/>
          <w:szCs w:val="20"/>
          <w:lang w:val="lt-LT"/>
        </w:rPr>
      </w:pPr>
      <w:r>
        <w:rPr>
          <w:rFonts w:ascii="Cambria" w:hAnsi="Cambria"/>
          <w:sz w:val="20"/>
          <w:szCs w:val="20"/>
          <w:lang w:val="lt-LT"/>
        </w:rPr>
        <w:t>1-</w:t>
      </w:r>
      <w:r w:rsidRPr="00677F9A">
        <w:rPr>
          <w:rFonts w:ascii="Cambria" w:hAnsi="Cambria"/>
          <w:sz w:val="20"/>
          <w:szCs w:val="20"/>
          <w:lang w:val="lt-LT"/>
        </w:rPr>
        <w:t xml:space="preserve">Nepatenkinamai (sritis netenkina minimalių reikalavimų, yra esminių trūkumų, dėl kurių krypties studijos </w:t>
      </w:r>
      <w:r>
        <w:rPr>
          <w:rFonts w:ascii="Cambria" w:hAnsi="Cambria"/>
          <w:sz w:val="20"/>
          <w:szCs w:val="20"/>
          <w:lang w:val="lt-LT"/>
        </w:rPr>
        <w:t>neg</w:t>
      </w:r>
      <w:r w:rsidRPr="00677F9A">
        <w:rPr>
          <w:rFonts w:ascii="Cambria" w:hAnsi="Cambria"/>
          <w:sz w:val="20"/>
          <w:szCs w:val="20"/>
          <w:lang w:val="lt-LT"/>
        </w:rPr>
        <w:t>ali būti vykdomos)</w:t>
      </w:r>
    </w:p>
    <w:p w14:paraId="16FEFADF" w14:textId="77777777" w:rsidR="004C026D" w:rsidRDefault="004C026D" w:rsidP="004C026D">
      <w:pPr>
        <w:tabs>
          <w:tab w:val="num" w:pos="1080"/>
        </w:tabs>
        <w:spacing w:line="276" w:lineRule="auto"/>
        <w:ind w:left="284"/>
        <w:jc w:val="both"/>
        <w:rPr>
          <w:rFonts w:ascii="Cambria" w:hAnsi="Cambria"/>
          <w:sz w:val="20"/>
          <w:szCs w:val="20"/>
          <w:lang w:val="lt-LT"/>
        </w:rPr>
      </w:pPr>
      <w:r>
        <w:rPr>
          <w:rFonts w:ascii="Cambria" w:hAnsi="Cambria"/>
          <w:sz w:val="20"/>
          <w:szCs w:val="20"/>
          <w:lang w:val="lt-LT"/>
        </w:rPr>
        <w:t>2-</w:t>
      </w:r>
      <w:r w:rsidRPr="00677F9A">
        <w:rPr>
          <w:rFonts w:ascii="Cambria" w:hAnsi="Cambria"/>
          <w:sz w:val="20"/>
          <w:szCs w:val="20"/>
          <w:lang w:val="lt-LT"/>
        </w:rPr>
        <w:t>Patenkinamai (sritis tenkina minimalius reikalavimus, yra esminių trūkumų, kuriuos būtina pašalinti)</w:t>
      </w:r>
    </w:p>
    <w:p w14:paraId="16FEFAE0" w14:textId="77777777" w:rsidR="004C026D" w:rsidRDefault="004C026D" w:rsidP="004C026D">
      <w:pPr>
        <w:tabs>
          <w:tab w:val="num" w:pos="1080"/>
        </w:tabs>
        <w:spacing w:line="276" w:lineRule="auto"/>
        <w:ind w:left="284"/>
        <w:jc w:val="both"/>
        <w:rPr>
          <w:rFonts w:ascii="Cambria" w:hAnsi="Cambria"/>
          <w:sz w:val="20"/>
          <w:szCs w:val="20"/>
          <w:lang w:val="lt-LT"/>
        </w:rPr>
      </w:pPr>
      <w:r>
        <w:rPr>
          <w:rFonts w:ascii="Cambria" w:hAnsi="Cambria"/>
          <w:sz w:val="20"/>
          <w:szCs w:val="20"/>
          <w:lang w:val="lt-LT"/>
        </w:rPr>
        <w:t>3-</w:t>
      </w:r>
      <w:r w:rsidRPr="00677F9A">
        <w:rPr>
          <w:rFonts w:ascii="Cambria" w:hAnsi="Cambria"/>
          <w:sz w:val="20"/>
          <w:szCs w:val="20"/>
          <w:lang w:val="lt-LT"/>
        </w:rPr>
        <w:t>Gerai (sritis plėtojama sistemiškai, be esminių trūkumų)</w:t>
      </w:r>
    </w:p>
    <w:p w14:paraId="16FEFAE1" w14:textId="77777777" w:rsidR="004C026D" w:rsidRDefault="004C026D" w:rsidP="004C026D">
      <w:pPr>
        <w:tabs>
          <w:tab w:val="num" w:pos="1080"/>
        </w:tabs>
        <w:spacing w:line="276" w:lineRule="auto"/>
        <w:ind w:left="284"/>
        <w:jc w:val="both"/>
        <w:rPr>
          <w:rFonts w:ascii="Cambria" w:hAnsi="Cambria"/>
          <w:sz w:val="20"/>
          <w:szCs w:val="20"/>
          <w:lang w:val="lt-LT"/>
        </w:rPr>
      </w:pPr>
      <w:r>
        <w:rPr>
          <w:rFonts w:ascii="Cambria" w:hAnsi="Cambria"/>
          <w:sz w:val="20"/>
          <w:szCs w:val="20"/>
          <w:lang w:val="lt-LT"/>
        </w:rPr>
        <w:t>4-</w:t>
      </w:r>
      <w:r w:rsidRPr="00677F9A">
        <w:rPr>
          <w:rFonts w:ascii="Cambria" w:hAnsi="Cambria"/>
          <w:sz w:val="20"/>
          <w:szCs w:val="20"/>
          <w:lang w:val="lt-LT"/>
        </w:rPr>
        <w:t>Labai gerai (sritis vertinama labai gerai nacionaliniame kontekste ir tarptautinėje erdvėje, be jokių trūkumų)</w:t>
      </w:r>
    </w:p>
    <w:p w14:paraId="16FEFAE2" w14:textId="77777777" w:rsidR="00EF45DC" w:rsidRDefault="004C026D" w:rsidP="00EF45DC">
      <w:pPr>
        <w:tabs>
          <w:tab w:val="num" w:pos="1080"/>
        </w:tabs>
        <w:spacing w:line="276" w:lineRule="auto"/>
        <w:ind w:left="284"/>
        <w:jc w:val="both"/>
        <w:rPr>
          <w:rFonts w:ascii="Cambria" w:hAnsi="Cambria"/>
          <w:sz w:val="20"/>
          <w:szCs w:val="20"/>
          <w:lang w:val="lt-LT"/>
        </w:rPr>
      </w:pPr>
      <w:r>
        <w:rPr>
          <w:rFonts w:ascii="Cambria" w:hAnsi="Cambria"/>
          <w:sz w:val="20"/>
          <w:szCs w:val="20"/>
          <w:lang w:val="lt-LT"/>
        </w:rPr>
        <w:t>5-</w:t>
      </w:r>
      <w:r w:rsidRPr="00677F9A">
        <w:rPr>
          <w:rFonts w:ascii="Cambria" w:hAnsi="Cambria"/>
          <w:sz w:val="20"/>
          <w:szCs w:val="20"/>
          <w:lang w:val="lt-LT"/>
        </w:rPr>
        <w:t>Išskirtinės kokybės (sritis vertinama išskirtinai gerai nacionaliniame kontekste ir tarptautinėje erdvėje)</w:t>
      </w:r>
    </w:p>
    <w:p w14:paraId="16FEFAE4" w14:textId="5C349F46" w:rsidR="00AE29A2" w:rsidRPr="00CE0C67" w:rsidRDefault="004C026D" w:rsidP="00CE0C67">
      <w:pPr>
        <w:tabs>
          <w:tab w:val="num" w:pos="1080"/>
        </w:tabs>
        <w:spacing w:line="276" w:lineRule="auto"/>
        <w:ind w:left="284"/>
        <w:jc w:val="both"/>
        <w:rPr>
          <w:rFonts w:ascii="Cambria" w:hAnsi="Cambria"/>
          <w:sz w:val="20"/>
          <w:szCs w:val="20"/>
          <w:lang w:val="lt-LT"/>
        </w:rPr>
      </w:pPr>
      <w:r w:rsidRPr="000D4EE3">
        <w:rPr>
          <w:rFonts w:ascii="Cambria" w:hAnsi="Cambria"/>
          <w:bCs/>
          <w:caps/>
          <w:lang w:val="lt-LT" w:eastAsia="lt-LT"/>
        </w:rPr>
        <w:t>&lt;...&gt;</w:t>
      </w:r>
      <w:bookmarkStart w:id="5" w:name="_Toc37939116"/>
    </w:p>
    <w:p w14:paraId="16FEFAE5" w14:textId="77777777" w:rsidR="00D71267" w:rsidRPr="00D71267" w:rsidRDefault="00D71267" w:rsidP="00D71267">
      <w:pPr>
        <w:keepNext/>
        <w:keepLines/>
        <w:tabs>
          <w:tab w:val="left" w:pos="680"/>
        </w:tabs>
        <w:spacing w:before="240" w:after="240"/>
        <w:jc w:val="center"/>
        <w:outlineLvl w:val="1"/>
        <w:rPr>
          <w:rFonts w:ascii="Cambria" w:hAnsi="Cambria"/>
          <w:b/>
          <w:bCs/>
          <w:caps/>
          <w:color w:val="136C73"/>
          <w:sz w:val="36"/>
          <w:szCs w:val="26"/>
          <w:lang w:val="lt-LT" w:eastAsia="lt-LT"/>
        </w:rPr>
      </w:pPr>
      <w:r w:rsidRPr="00D71267">
        <w:rPr>
          <w:rFonts w:ascii="Cambria" w:hAnsi="Cambria"/>
          <w:b/>
          <w:bCs/>
          <w:caps/>
          <w:color w:val="136C73"/>
          <w:sz w:val="36"/>
          <w:szCs w:val="26"/>
          <w:lang w:val="lt-LT" w:eastAsia="lt-LT"/>
        </w:rPr>
        <w:t>IV. IŠSKIRTINĖS KOKYBĖS PAVYZDŽIAI</w:t>
      </w:r>
    </w:p>
    <w:p w14:paraId="16FEFAE6" w14:textId="77777777" w:rsidR="00D71267" w:rsidRDefault="00D71267" w:rsidP="00D71267">
      <w:pPr>
        <w:tabs>
          <w:tab w:val="left" w:pos="1298"/>
          <w:tab w:val="left" w:pos="1985"/>
        </w:tabs>
        <w:ind w:left="720"/>
        <w:jc w:val="both"/>
        <w:rPr>
          <w:rFonts w:ascii="Cambria" w:eastAsia="Cambria" w:hAnsi="Cambria" w:cs="Cambria"/>
          <w:i/>
        </w:rPr>
      </w:pPr>
    </w:p>
    <w:p w14:paraId="16FEFAE7" w14:textId="77777777" w:rsidR="00AE29A2" w:rsidRPr="00AE29A2" w:rsidRDefault="00AE29A2" w:rsidP="008D2C95">
      <w:pPr>
        <w:jc w:val="both"/>
        <w:rPr>
          <w:rFonts w:asciiTheme="majorHAnsi" w:hAnsiTheme="majorHAnsi"/>
          <w:lang w:val="lt-LT"/>
        </w:rPr>
      </w:pPr>
      <w:r w:rsidRPr="00AE29A2">
        <w:rPr>
          <w:rFonts w:asciiTheme="majorHAnsi" w:hAnsiTheme="majorHAnsi"/>
          <w:lang w:val="lt-LT"/>
        </w:rPr>
        <w:t xml:space="preserve">Studijų srities programos turi stiprų tarptautinį bendradarbiavimą ir ryšius. </w:t>
      </w:r>
    </w:p>
    <w:p w14:paraId="16FEFAE8" w14:textId="77777777" w:rsidR="00AE29A2" w:rsidRPr="00AE29A2" w:rsidRDefault="00AE29A2" w:rsidP="008D2C95">
      <w:pPr>
        <w:jc w:val="both"/>
        <w:rPr>
          <w:rFonts w:asciiTheme="majorHAnsi" w:hAnsiTheme="majorHAnsi"/>
          <w:lang w:val="lt-LT"/>
        </w:rPr>
      </w:pPr>
      <w:r w:rsidRPr="00AE29A2">
        <w:rPr>
          <w:rFonts w:asciiTheme="majorHAnsi" w:hAnsiTheme="majorHAnsi"/>
          <w:lang w:val="lt-LT"/>
        </w:rPr>
        <w:t>Dėstytojams suteikiamos geros galimybės asmeniniam tobulėjimui, įskaitant veiklas tarptautiniu mastu.</w:t>
      </w:r>
    </w:p>
    <w:p w14:paraId="16FEFAE9" w14:textId="77777777" w:rsidR="00AE29A2" w:rsidRPr="00AE29A2" w:rsidRDefault="00AE29A2" w:rsidP="008D2C95">
      <w:pPr>
        <w:jc w:val="both"/>
        <w:rPr>
          <w:rFonts w:asciiTheme="majorHAnsi" w:hAnsiTheme="majorHAnsi"/>
          <w:lang w:val="lt-LT"/>
        </w:rPr>
      </w:pPr>
      <w:r w:rsidRPr="00AE29A2">
        <w:rPr>
          <w:rFonts w:asciiTheme="majorHAnsi" w:hAnsiTheme="majorHAnsi"/>
          <w:lang w:val="lt-LT"/>
        </w:rPr>
        <w:t xml:space="preserve">Darbuotojams teikiamos finansinės paskatos ir parama tyrimams atlikti. </w:t>
      </w:r>
    </w:p>
    <w:p w14:paraId="16FEFAEA" w14:textId="77777777" w:rsidR="00AE29A2" w:rsidRPr="00AE29A2" w:rsidRDefault="00AE29A2" w:rsidP="008D2C95">
      <w:pPr>
        <w:jc w:val="both"/>
        <w:rPr>
          <w:rFonts w:asciiTheme="majorHAnsi" w:hAnsiTheme="majorHAnsi"/>
          <w:lang w:val="lt-LT"/>
        </w:rPr>
      </w:pPr>
      <w:r w:rsidRPr="00AE29A2">
        <w:rPr>
          <w:rFonts w:asciiTheme="majorHAnsi" w:hAnsiTheme="majorHAnsi"/>
          <w:lang w:val="lt-LT"/>
        </w:rPr>
        <w:t>Unikali programa šalyje tokio tipo studijoms.</w:t>
      </w:r>
    </w:p>
    <w:p w14:paraId="16FEFAEB" w14:textId="77777777" w:rsidR="00AE29A2" w:rsidRPr="00AE29A2" w:rsidRDefault="00AE29A2" w:rsidP="008D2C95">
      <w:pPr>
        <w:jc w:val="both"/>
        <w:rPr>
          <w:rFonts w:asciiTheme="majorHAnsi" w:hAnsiTheme="majorHAnsi"/>
          <w:lang w:val="lt-LT"/>
        </w:rPr>
      </w:pPr>
      <w:r w:rsidRPr="00AE29A2">
        <w:rPr>
          <w:rFonts w:asciiTheme="majorHAnsi" w:hAnsiTheme="majorHAnsi"/>
          <w:lang w:val="lt-LT"/>
        </w:rPr>
        <w:t>Stipri pozicija dėl bakalaurų studentų mobilumo, puikūs rezultatai pritraukiant neakivaizdiniu būdu studijuojančius studentus iš užsienio.</w:t>
      </w:r>
    </w:p>
    <w:p w14:paraId="63D12B09" w14:textId="6D96F8E4" w:rsidR="00CE0C67" w:rsidRPr="00CE0C67" w:rsidRDefault="00AE29A2" w:rsidP="00CE0C67">
      <w:pPr>
        <w:jc w:val="both"/>
        <w:rPr>
          <w:rFonts w:asciiTheme="majorHAnsi" w:hAnsiTheme="majorHAnsi"/>
          <w:lang w:val="lt-LT"/>
        </w:rPr>
      </w:pPr>
      <w:r w:rsidRPr="00AE29A2">
        <w:rPr>
          <w:rFonts w:asciiTheme="majorHAnsi" w:hAnsiTheme="majorHAnsi"/>
          <w:lang w:val="lt-LT"/>
        </w:rPr>
        <w:t>Universitetas naujam akademiniam personalui užtikrina aiškias karjeros galimybes ir vystymosi procesą.</w:t>
      </w:r>
    </w:p>
    <w:p w14:paraId="53D73325" w14:textId="77777777" w:rsidR="00CE0C67" w:rsidRDefault="00CE0C67" w:rsidP="00CE0C67">
      <w:pPr>
        <w:keepNext/>
        <w:keepLines/>
        <w:tabs>
          <w:tab w:val="left" w:pos="680"/>
        </w:tabs>
        <w:spacing w:after="240"/>
        <w:jc w:val="center"/>
        <w:outlineLvl w:val="1"/>
        <w:rPr>
          <w:rFonts w:ascii="Cambria" w:hAnsi="Cambria"/>
          <w:b/>
          <w:bCs/>
          <w:caps/>
          <w:color w:val="136C73"/>
          <w:sz w:val="36"/>
          <w:szCs w:val="26"/>
          <w:lang w:val="lt-LT" w:eastAsia="lt-LT"/>
        </w:rPr>
      </w:pPr>
    </w:p>
    <w:p w14:paraId="16FEFAED" w14:textId="77777777" w:rsidR="004C026D" w:rsidRPr="00C72D32" w:rsidRDefault="004C026D" w:rsidP="004C026D">
      <w:pPr>
        <w:keepNext/>
        <w:keepLines/>
        <w:tabs>
          <w:tab w:val="left" w:pos="680"/>
        </w:tabs>
        <w:spacing w:before="240" w:after="240"/>
        <w:jc w:val="center"/>
        <w:outlineLvl w:val="1"/>
        <w:rPr>
          <w:rFonts w:ascii="Cambria" w:hAnsi="Cambria"/>
          <w:b/>
          <w:bCs/>
          <w:caps/>
          <w:color w:val="136C73"/>
          <w:sz w:val="36"/>
          <w:szCs w:val="26"/>
          <w:lang w:val="lt-LT" w:eastAsia="lt-LT"/>
        </w:rPr>
      </w:pPr>
      <w:r w:rsidRPr="00C72D32">
        <w:rPr>
          <w:rFonts w:ascii="Cambria" w:hAnsi="Cambria"/>
          <w:b/>
          <w:bCs/>
          <w:caps/>
          <w:color w:val="136C73"/>
          <w:sz w:val="36"/>
          <w:szCs w:val="26"/>
          <w:lang w:val="lt-LT" w:eastAsia="lt-LT"/>
        </w:rPr>
        <w:t xml:space="preserve">v. REkomendacijos </w:t>
      </w:r>
      <w:bookmarkEnd w:id="5"/>
    </w:p>
    <w:p w14:paraId="16FEFAEE" w14:textId="77777777" w:rsidR="004C026D" w:rsidRPr="00C72D32" w:rsidRDefault="004C026D" w:rsidP="00CE0C67">
      <w:pPr>
        <w:rPr>
          <w:rFonts w:ascii="Cambria" w:eastAsia="Calibri" w:hAnsi="Cambria"/>
          <w:color w:val="632423"/>
          <w:lang w:val="lt-LT" w:eastAsia="lt-LT"/>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194"/>
      </w:tblGrid>
      <w:tr w:rsidR="00D71267" w:rsidRPr="00D71267" w14:paraId="16FEFAF1" w14:textId="77777777" w:rsidTr="00AD1163">
        <w:trPr>
          <w:trHeight w:val="654"/>
        </w:trPr>
        <w:tc>
          <w:tcPr>
            <w:tcW w:w="2660" w:type="dxa"/>
            <w:tcBorders>
              <w:bottom w:val="single" w:sz="4" w:space="0" w:color="000000"/>
            </w:tcBorders>
            <w:shd w:val="clear" w:color="auto" w:fill="EEECE1"/>
            <w:vAlign w:val="center"/>
          </w:tcPr>
          <w:p w14:paraId="16FEFAEF" w14:textId="77777777" w:rsidR="00D71267" w:rsidRPr="00D71267" w:rsidRDefault="00D71267" w:rsidP="00D71267">
            <w:pPr>
              <w:jc w:val="center"/>
              <w:rPr>
                <w:rFonts w:ascii="Cambria" w:eastAsia="Cambria" w:hAnsi="Cambria" w:cs="Cambria"/>
                <w:b/>
                <w:color w:val="136C73"/>
                <w:lang w:val="lt-LT" w:eastAsia="en-GB"/>
              </w:rPr>
            </w:pPr>
            <w:r w:rsidRPr="00D71267">
              <w:rPr>
                <w:rFonts w:ascii="Cambria" w:eastAsia="Cambria" w:hAnsi="Cambria" w:cs="Cambria"/>
                <w:b/>
                <w:color w:val="136C73"/>
                <w:lang w:val="lt-LT" w:eastAsia="en-GB"/>
              </w:rPr>
              <w:lastRenderedPageBreak/>
              <w:t>Vertinamoji sritis</w:t>
            </w:r>
          </w:p>
        </w:tc>
        <w:tc>
          <w:tcPr>
            <w:tcW w:w="7194" w:type="dxa"/>
            <w:shd w:val="clear" w:color="auto" w:fill="EEECE1"/>
            <w:vAlign w:val="center"/>
          </w:tcPr>
          <w:p w14:paraId="16FEFAF0" w14:textId="77777777" w:rsidR="00D71267" w:rsidRPr="00D71267" w:rsidRDefault="00D71267" w:rsidP="00D71267">
            <w:pPr>
              <w:jc w:val="center"/>
              <w:rPr>
                <w:rFonts w:ascii="Cambria" w:eastAsia="Cambria" w:hAnsi="Cambria" w:cs="Cambria"/>
                <w:b/>
                <w:color w:val="136C73"/>
                <w:lang w:val="lt-LT" w:eastAsia="en-GB"/>
              </w:rPr>
            </w:pPr>
            <w:r w:rsidRPr="00D71267">
              <w:rPr>
                <w:rFonts w:ascii="Cambria" w:eastAsia="Cambria" w:hAnsi="Cambria" w:cs="Cambria"/>
                <w:b/>
                <w:color w:val="136C73"/>
                <w:lang w:val="lt-LT" w:eastAsia="en-GB"/>
              </w:rPr>
              <w:t>Rekomendacijos dėl vertinamosios srities (studijų pakopos)</w:t>
            </w:r>
          </w:p>
        </w:tc>
      </w:tr>
      <w:tr w:rsidR="008D2C95" w:rsidRPr="00D71267" w14:paraId="16FEFAF8" w14:textId="77777777" w:rsidTr="00AD1163">
        <w:trPr>
          <w:trHeight w:val="1134"/>
        </w:trPr>
        <w:tc>
          <w:tcPr>
            <w:tcW w:w="2660" w:type="dxa"/>
            <w:shd w:val="clear" w:color="auto" w:fill="EEECE1"/>
            <w:vAlign w:val="center"/>
          </w:tcPr>
          <w:p w14:paraId="16FEFAF2"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Studijų tikslai, rezultatai ir turinys</w:t>
            </w:r>
          </w:p>
        </w:tc>
        <w:tc>
          <w:tcPr>
            <w:tcW w:w="7194" w:type="dxa"/>
            <w:vAlign w:val="center"/>
          </w:tcPr>
          <w:p w14:paraId="16FEFAF3"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Bendrieji studijų sričių tikslai ir siekiai suteikia žinias energetikos inžinerijoje, ypač pastatų energetikoje, būtų naudinga pasiūlyti institucijai ir toliau pabrėžti šių programų unikalumą šalyje.</w:t>
            </w:r>
          </w:p>
          <w:p w14:paraId="16FEFAF4" w14:textId="77777777" w:rsidR="008D2C95" w:rsidRPr="008D2C95" w:rsidRDefault="008D2C95" w:rsidP="00331CAD">
            <w:pPr>
              <w:rPr>
                <w:rFonts w:ascii="Cambria" w:eastAsia="Cambria" w:hAnsi="Cambria" w:cs="Cambria"/>
                <w:lang w:val="lt-LT"/>
              </w:rPr>
            </w:pPr>
          </w:p>
          <w:p w14:paraId="16FEFAF5"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Institucijai rekomenduojama paspartinti visų programos dalykų aprašymų atnaujinimą, ypač plačiau pasiremiant neseniai atliktais tyrimais, o ne vien tik dėstytojų tyrimų projektais, siekiant išplėsti studentų akiratį greitai kintančioje energetikos rinkoje.</w:t>
            </w:r>
          </w:p>
          <w:p w14:paraId="16FEFAF6" w14:textId="77777777" w:rsidR="008D2C95" w:rsidRPr="008D2C95" w:rsidRDefault="008D2C95" w:rsidP="00331CAD">
            <w:pPr>
              <w:rPr>
                <w:rFonts w:ascii="Cambria" w:eastAsia="Cambria" w:hAnsi="Cambria" w:cs="Cambria"/>
                <w:lang w:val="lt-LT"/>
              </w:rPr>
            </w:pPr>
          </w:p>
          <w:p w14:paraId="16FEFAF7"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Turėtų būti dedama daugiau pastangų supažindinti su programomis potencialius studentus, kad būtų sumažintas priimamų studentų skaičiaus nuosmukis.</w:t>
            </w:r>
          </w:p>
        </w:tc>
      </w:tr>
      <w:tr w:rsidR="008D2C95" w:rsidRPr="00D71267" w14:paraId="16FEFAFD" w14:textId="77777777" w:rsidTr="001F2A74">
        <w:trPr>
          <w:trHeight w:val="935"/>
        </w:trPr>
        <w:tc>
          <w:tcPr>
            <w:tcW w:w="2660" w:type="dxa"/>
            <w:shd w:val="clear" w:color="auto" w:fill="EEECE1"/>
            <w:vAlign w:val="center"/>
          </w:tcPr>
          <w:p w14:paraId="16FEFAF9"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Mokslo (meno) ir studijų veiklos sąsajos</w:t>
            </w:r>
          </w:p>
        </w:tc>
        <w:tc>
          <w:tcPr>
            <w:tcW w:w="7194" w:type="dxa"/>
            <w:vAlign w:val="center"/>
          </w:tcPr>
          <w:p w14:paraId="16FEFAFA"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Reikalingas labiau sisteminis požiūris bendradarbiaujant su socialiniais partneriais mokslinių tyrimų projektuose.</w:t>
            </w:r>
          </w:p>
          <w:p w14:paraId="16FEFAFB" w14:textId="77777777" w:rsidR="008D2C95" w:rsidRPr="008D2C95" w:rsidRDefault="008D2C95" w:rsidP="00331CAD">
            <w:pPr>
              <w:rPr>
                <w:rFonts w:ascii="Cambria" w:eastAsia="Cambria" w:hAnsi="Cambria" w:cs="Cambria"/>
                <w:lang w:val="lt-LT"/>
              </w:rPr>
            </w:pPr>
          </w:p>
          <w:p w14:paraId="16FEFAFC"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Reikia įgyvendinti reguliaresnį ir labiau organizuotą socialinių partnerių dalyvavimą gerinant studijų programas.</w:t>
            </w:r>
          </w:p>
        </w:tc>
      </w:tr>
      <w:tr w:rsidR="008D2C95" w:rsidRPr="00D71267" w14:paraId="16FEFB02" w14:textId="77777777" w:rsidTr="00AD1163">
        <w:trPr>
          <w:trHeight w:val="1134"/>
        </w:trPr>
        <w:tc>
          <w:tcPr>
            <w:tcW w:w="2660" w:type="dxa"/>
            <w:shd w:val="clear" w:color="auto" w:fill="EEECE1"/>
            <w:vAlign w:val="center"/>
          </w:tcPr>
          <w:p w14:paraId="16FEFAFE"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Studentų priėmimas ir parama</w:t>
            </w:r>
          </w:p>
        </w:tc>
        <w:tc>
          <w:tcPr>
            <w:tcW w:w="7194" w:type="dxa"/>
            <w:vAlign w:val="center"/>
          </w:tcPr>
          <w:p w14:paraId="16FEFAFF" w14:textId="77777777" w:rsidR="008D2C95" w:rsidRPr="008D2C95" w:rsidRDefault="008D2C95" w:rsidP="00331CAD">
            <w:pPr>
              <w:rPr>
                <w:rFonts w:ascii="Cambria" w:eastAsia="Cambria" w:hAnsi="Cambria" w:cs="Cambria"/>
                <w:lang w:val="lt-LT"/>
              </w:rPr>
            </w:pPr>
            <w:bookmarkStart w:id="6" w:name="OLE_LINK20"/>
            <w:r w:rsidRPr="008D2C95">
              <w:rPr>
                <w:rFonts w:ascii="Cambria" w:eastAsia="Cambria" w:hAnsi="Cambria" w:cs="Cambria"/>
                <w:lang w:val="lt-LT"/>
              </w:rPr>
              <w:t xml:space="preserve">Mažėjantis norinčių studijuoti asmenų skaičius kelia susirūpinimą bent jau trumpuoju laikotarpiu ir reikalauja konkretaus veiksmų plano, išeinančio iš dabartinės prezentacijų mokiniams vykdymo praktikos ribų. </w:t>
            </w:r>
          </w:p>
          <w:bookmarkEnd w:id="6"/>
          <w:p w14:paraId="16FEFB00" w14:textId="77777777" w:rsidR="008D2C95" w:rsidRPr="008D2C95" w:rsidRDefault="008D2C95" w:rsidP="00331CAD">
            <w:pPr>
              <w:rPr>
                <w:rFonts w:ascii="Cambria" w:eastAsia="Cambria" w:hAnsi="Cambria" w:cs="Cambria"/>
                <w:lang w:val="lt-LT"/>
              </w:rPr>
            </w:pPr>
          </w:p>
          <w:p w14:paraId="16FEFB01"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Universitetas turėtų peržiūrėti studentų reikalavimus dėl akademinio nusižengimo ir, jei tai yra būtina, pateikti veiksmų planą, kad būtų galima įveikti plagijavimą studentų tarpe ir slaptus susitarimus vertinimų metu.</w:t>
            </w:r>
          </w:p>
        </w:tc>
      </w:tr>
      <w:tr w:rsidR="008D2C95" w:rsidRPr="00D71267" w14:paraId="16FEFB06" w14:textId="77777777" w:rsidTr="00AD1163">
        <w:trPr>
          <w:trHeight w:val="1134"/>
        </w:trPr>
        <w:tc>
          <w:tcPr>
            <w:tcW w:w="2660" w:type="dxa"/>
            <w:shd w:val="clear" w:color="auto" w:fill="EEECE1"/>
            <w:vAlign w:val="center"/>
          </w:tcPr>
          <w:p w14:paraId="16FEFB03"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Studijavimas, studijų pasiekimai ir absolventų užimtumas</w:t>
            </w:r>
          </w:p>
        </w:tc>
        <w:tc>
          <w:tcPr>
            <w:tcW w:w="7194" w:type="dxa"/>
            <w:vAlign w:val="center"/>
          </w:tcPr>
          <w:p w14:paraId="16FEFB04"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 xml:space="preserve">Rekomenduojama, kad būtų sukurtas aiškus ir nuoseklus procesas, suteikiant studentams galimybę pateikti atsiliepimus apie jų darbo ir vertinimo rezultatus ir teikti detalesnę informaciją studentams semestro pradžioje. </w:t>
            </w:r>
          </w:p>
          <w:p w14:paraId="16FEFB05" w14:textId="77777777" w:rsidR="008D2C95" w:rsidRPr="008D2C95" w:rsidRDefault="008D2C95" w:rsidP="00331CAD">
            <w:pPr>
              <w:rPr>
                <w:rFonts w:ascii="Cambria" w:eastAsia="Cambria" w:hAnsi="Cambria" w:cs="Cambria"/>
                <w:lang w:val="lt-LT"/>
              </w:rPr>
            </w:pPr>
          </w:p>
        </w:tc>
      </w:tr>
      <w:tr w:rsidR="008D2C95" w:rsidRPr="00D71267" w14:paraId="16FEFB09" w14:textId="77777777" w:rsidTr="00AD1163">
        <w:trPr>
          <w:trHeight w:val="1134"/>
        </w:trPr>
        <w:tc>
          <w:tcPr>
            <w:tcW w:w="2660" w:type="dxa"/>
            <w:shd w:val="clear" w:color="auto" w:fill="EEECE1"/>
            <w:vAlign w:val="center"/>
          </w:tcPr>
          <w:p w14:paraId="16FEFB07"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Dėstytojai</w:t>
            </w:r>
          </w:p>
        </w:tc>
        <w:tc>
          <w:tcPr>
            <w:tcW w:w="7194" w:type="dxa"/>
            <w:vAlign w:val="center"/>
          </w:tcPr>
          <w:p w14:paraId="16FEFB08" w14:textId="52445B0B"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Reikalingi sp</w:t>
            </w:r>
            <w:r w:rsidR="00216A9E">
              <w:rPr>
                <w:rFonts w:ascii="Cambria" w:eastAsia="Cambria" w:hAnsi="Cambria" w:cs="Cambria"/>
                <w:lang w:val="lt-LT"/>
              </w:rPr>
              <w:t>r</w:t>
            </w:r>
            <w:r w:rsidRPr="008D2C95">
              <w:rPr>
                <w:rFonts w:ascii="Cambria" w:eastAsia="Cambria" w:hAnsi="Cambria" w:cs="Cambria"/>
                <w:lang w:val="lt-LT"/>
              </w:rPr>
              <w:t>endimai, susiję su dėstytoju mobilum</w:t>
            </w:r>
            <w:r w:rsidR="00216A9E">
              <w:rPr>
                <w:rFonts w:ascii="Cambria" w:eastAsia="Cambria" w:hAnsi="Cambria" w:cs="Cambria"/>
                <w:lang w:val="lt-LT"/>
              </w:rPr>
              <w:t>o</w:t>
            </w:r>
            <w:r w:rsidRPr="008D2C95">
              <w:rPr>
                <w:rFonts w:ascii="Cambria" w:eastAsia="Cambria" w:hAnsi="Cambria" w:cs="Cambria"/>
                <w:lang w:val="lt-LT"/>
              </w:rPr>
              <w:t xml:space="preserve"> didinimu antrojoje pakopoje.</w:t>
            </w:r>
          </w:p>
        </w:tc>
      </w:tr>
      <w:tr w:rsidR="008D2C95" w:rsidRPr="00D71267" w14:paraId="16FEFB0E" w14:textId="77777777" w:rsidTr="00AD1163">
        <w:trPr>
          <w:trHeight w:val="1134"/>
        </w:trPr>
        <w:tc>
          <w:tcPr>
            <w:tcW w:w="2660" w:type="dxa"/>
            <w:shd w:val="clear" w:color="auto" w:fill="EEECE1"/>
            <w:vAlign w:val="center"/>
          </w:tcPr>
          <w:p w14:paraId="16FEFB0A"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Studijų materialieji ištekliai</w:t>
            </w:r>
          </w:p>
        </w:tc>
        <w:tc>
          <w:tcPr>
            <w:tcW w:w="7194" w:type="dxa"/>
            <w:vAlign w:val="center"/>
          </w:tcPr>
          <w:p w14:paraId="16FEFB0B"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Universitetas turėtų suteikti daugiau lėšų plėtoti ir prižiūrėti laboratorinę įrangą, kurios atnaujinimas ir priežiūra šiuo metu daugiausia atliekama mokslinių tyrimų projektų fondų lėšomis.</w:t>
            </w:r>
          </w:p>
          <w:p w14:paraId="16FEFB0C" w14:textId="77777777" w:rsidR="008D2C95" w:rsidRPr="008D2C95" w:rsidRDefault="008D2C95" w:rsidP="00331CAD">
            <w:pPr>
              <w:rPr>
                <w:rFonts w:ascii="Cambria" w:eastAsia="Cambria" w:hAnsi="Cambria" w:cs="Cambria"/>
                <w:lang w:val="lt-LT"/>
              </w:rPr>
            </w:pPr>
          </w:p>
          <w:p w14:paraId="16FEFB0D"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Yra poreikis turėti nuolatinio kompiuterių, kuriuos naudoja studentai, modernizavimo ir atnaujinimo planą.</w:t>
            </w:r>
          </w:p>
        </w:tc>
      </w:tr>
      <w:tr w:rsidR="008D2C95" w:rsidRPr="00D71267" w14:paraId="16FEFB11" w14:textId="77777777" w:rsidTr="00AD1163">
        <w:trPr>
          <w:trHeight w:val="1134"/>
        </w:trPr>
        <w:tc>
          <w:tcPr>
            <w:tcW w:w="2660" w:type="dxa"/>
            <w:shd w:val="clear" w:color="auto" w:fill="EEECE1"/>
            <w:vAlign w:val="center"/>
          </w:tcPr>
          <w:p w14:paraId="16FEFB0F" w14:textId="77777777" w:rsidR="008D2C95" w:rsidRPr="00D71267" w:rsidRDefault="008D2C95" w:rsidP="00D71267">
            <w:pPr>
              <w:rPr>
                <w:rFonts w:ascii="Cambria" w:eastAsia="Cambria" w:hAnsi="Cambria" w:cs="Cambria"/>
                <w:color w:val="136C73"/>
                <w:lang w:val="lt-LT" w:eastAsia="en-GB"/>
              </w:rPr>
            </w:pPr>
            <w:r w:rsidRPr="00D71267">
              <w:rPr>
                <w:rFonts w:ascii="Cambria" w:eastAsia="Cambria" w:hAnsi="Cambria" w:cs="Cambria"/>
                <w:color w:val="136C73"/>
                <w:lang w:val="lt-LT" w:eastAsia="en-GB"/>
              </w:rPr>
              <w:t>Studijų kokybės valdymas ir viešinimas</w:t>
            </w:r>
          </w:p>
        </w:tc>
        <w:tc>
          <w:tcPr>
            <w:tcW w:w="7194" w:type="dxa"/>
            <w:vAlign w:val="center"/>
          </w:tcPr>
          <w:p w14:paraId="16FEFB10" w14:textId="77777777" w:rsidR="008D2C95" w:rsidRPr="008D2C95" w:rsidRDefault="008D2C95" w:rsidP="00331CAD">
            <w:pPr>
              <w:rPr>
                <w:rFonts w:ascii="Cambria" w:eastAsia="Cambria" w:hAnsi="Cambria" w:cs="Cambria"/>
                <w:lang w:val="lt-LT"/>
              </w:rPr>
            </w:pPr>
            <w:r w:rsidRPr="008D2C95">
              <w:rPr>
                <w:rFonts w:ascii="Cambria" w:eastAsia="Cambria" w:hAnsi="Cambria" w:cs="Cambria"/>
                <w:lang w:val="lt-LT"/>
              </w:rPr>
              <w:t xml:space="preserve">Reikia optimizuoti studentų apklausų kiekį ir kokybę. Šiuo metu vykdoma pernelyg daug apklausų, kurios studentams gali sukelti nuovargį. </w:t>
            </w:r>
          </w:p>
        </w:tc>
      </w:tr>
    </w:tbl>
    <w:p w14:paraId="16FEFB12" w14:textId="77777777" w:rsidR="001F2A74" w:rsidRPr="00C72D32" w:rsidRDefault="004C026D" w:rsidP="001F2A74">
      <w:pPr>
        <w:keepNext/>
        <w:keepLines/>
        <w:tabs>
          <w:tab w:val="left" w:pos="680"/>
        </w:tabs>
        <w:spacing w:before="240" w:after="240"/>
        <w:ind w:left="360"/>
        <w:jc w:val="center"/>
        <w:outlineLvl w:val="1"/>
        <w:rPr>
          <w:rFonts w:ascii="Cambria" w:hAnsi="Cambria"/>
          <w:b/>
          <w:bCs/>
          <w:caps/>
          <w:color w:val="136C73"/>
          <w:sz w:val="36"/>
          <w:szCs w:val="26"/>
          <w:lang w:val="lt-LT" w:eastAsia="lt-LT"/>
        </w:rPr>
      </w:pPr>
      <w:bookmarkStart w:id="7" w:name="_Toc37939117"/>
      <w:r>
        <w:rPr>
          <w:rFonts w:ascii="Cambria" w:hAnsi="Cambria"/>
          <w:b/>
          <w:bCs/>
          <w:caps/>
          <w:color w:val="136C73"/>
          <w:sz w:val="36"/>
          <w:szCs w:val="26"/>
          <w:lang w:val="lt-LT" w:eastAsia="lt-LT"/>
        </w:rPr>
        <w:lastRenderedPageBreak/>
        <w:t>V</w:t>
      </w:r>
      <w:r w:rsidR="00D71267">
        <w:rPr>
          <w:rFonts w:ascii="Cambria" w:hAnsi="Cambria"/>
          <w:b/>
          <w:bCs/>
          <w:caps/>
          <w:color w:val="136C73"/>
          <w:sz w:val="36"/>
          <w:szCs w:val="26"/>
          <w:lang w:val="lt-LT" w:eastAsia="lt-LT"/>
        </w:rPr>
        <w:t>I</w:t>
      </w:r>
      <w:r w:rsidRPr="00C72D32">
        <w:rPr>
          <w:rFonts w:ascii="Cambria" w:hAnsi="Cambria"/>
          <w:b/>
          <w:bCs/>
          <w:caps/>
          <w:color w:val="136C73"/>
          <w:sz w:val="36"/>
          <w:szCs w:val="26"/>
          <w:lang w:val="lt-LT" w:eastAsia="lt-LT"/>
        </w:rPr>
        <w:t>. S</w:t>
      </w:r>
      <w:bookmarkEnd w:id="7"/>
      <w:r w:rsidRPr="00C72D32">
        <w:rPr>
          <w:rFonts w:ascii="Cambria" w:hAnsi="Cambria"/>
          <w:b/>
          <w:bCs/>
          <w:caps/>
          <w:color w:val="136C73"/>
          <w:sz w:val="36"/>
          <w:szCs w:val="26"/>
          <w:lang w:val="lt-LT" w:eastAsia="lt-LT"/>
        </w:rPr>
        <w:t>antrauka</w:t>
      </w:r>
    </w:p>
    <w:p w14:paraId="16FEFB14" w14:textId="3DB2CAFD"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Pastatų energetikos bakalauro ir pastatų magistro programos skirtos parengti specialistus, kurie galėtų analizuoti ir modeliuoti energijos konversijos procesus, nustatyti, suformuluoti ir spręsti inžinerines problemas, susijusias su šilumos gamyba, konversija, šiluma, dujų tiekimu, vartojimu, taip pat oro kokybe patalpose, projektuoti ir naudoti naują ir esamą energetinę, šiluminę įrangą ir sistemas, kurioms būdingas didelis efektyvumas, ekonomiškumas, kokybė, patikimumas, tvarus išteklių poreikis ir poveikis aplinkai. VGTU – vienintelis šalies universitetas, siūlantis šias specializacijas.</w:t>
      </w:r>
    </w:p>
    <w:p w14:paraId="16FEFB16" w14:textId="0F22127F"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 xml:space="preserve">Studijų programų tikslai yra suteikti žinias energetikos inžinerijoje, ypač atsižvelgiant į pastatų energetiką, plėtoti gebėjimą rasti ir taikyti naujus inžinerinius sprendimus pastatams (pirmosios pakopos programa); suteikti žinias pastatų energetikos inžinerijoje (antrosios pakopos programa). Institucija turi konkrečiau komunikuoti tikslus ir uždavinius, siekiant suteikti daugiau aiškumo būsimiems studentams ir darbdaviams. </w:t>
      </w:r>
    </w:p>
    <w:p w14:paraId="16FEFB18" w14:textId="292C49A9"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Universiteto administracija sudaro geras sąlygas moksliniams tyrimams ir veiklai, taip pat darbuotojams ir studentams dalyvauti moksliniuose tyrimuose ir išoriniuose projektuose. Mokslinių tyrimų temos yra glaudžiai susijusios su studijų dalykais, kuriais grindžiamas mokymas, atsižvelgiant į naujausius pasiekimus šioje srityje. Be to, universitetas organizuoja studentų mokslines konferencijas ir skatina studentus šiuose renginiuose supažindinti su pasiektais rezultatais.</w:t>
      </w:r>
    </w:p>
    <w:p w14:paraId="16FEFB1A" w14:textId="2312A2BA"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Nors socialiniai partneriai dalyvauja remiant ir vertinant studentų mokslinių tyrimų projektus, panašu, jog tai vyksta be išankstinio planavimo. Be to, socialinių partnerių dalyvavimas pateikiant grįžtamąjį ryšį ir gerinant studijų programas taip pat yra atsitiktinio pobūdžio. Todėl sistemingesnis ir labiau organizuotas požiūris į bendradarbiavimą su socialiniais partneriais gali būti naudingas studijų programų ateičiai.</w:t>
      </w:r>
    </w:p>
    <w:p w14:paraId="16FEFB1B" w14:textId="77777777"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Studentų priėmimas į studijų programas nuolat mažėja, nepaisant programų unikalumo ir išreikšto socialinių partnerių susidomėjimo absolventais. Tai kelia susirūpinimą ir reikalauja ištirti tikrąsias priežastis bei įgyvendinti priemones, padėsiančias sustabdyti nuosmukį. Geresnis priėmimas į pirmąją studijų pakopą gali užtikrinti stabilesnį priėmimą į antrąją pakopą.</w:t>
      </w:r>
    </w:p>
    <w:p w14:paraId="16FEFB1C" w14:textId="77777777"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Nors studentų mobilumas aktyviai skatinamas, panašu, kad atvykstančių studentų yra žymiai daugiau nei išvykstančių. To priežastis – vietinių studentų įsitraukimas į darbo rinką studijų metu. Tarp magistrų studentų mobilumo beveik nestebima.</w:t>
      </w:r>
    </w:p>
    <w:p w14:paraId="16FEFB1D" w14:textId="77777777" w:rsidR="008D2C95" w:rsidRPr="008D2C95" w:rsidRDefault="008D2C95" w:rsidP="008D2C95">
      <w:pPr>
        <w:spacing w:line="276" w:lineRule="auto"/>
        <w:rPr>
          <w:rFonts w:asciiTheme="majorHAnsi" w:hAnsiTheme="majorHAnsi"/>
          <w:lang w:val="lt-LT"/>
        </w:rPr>
      </w:pPr>
      <w:r w:rsidRPr="008D2C95">
        <w:rPr>
          <w:rFonts w:asciiTheme="majorHAnsi" w:hAnsiTheme="majorHAnsi"/>
          <w:lang w:val="lt-LT"/>
        </w:rPr>
        <w:t xml:space="preserve">Institucija aktyviai renka studentų atsiliepimus, kad būtų lengviau atlikti nuolatinius patobulinimus. Tačiau, remiantis studentų atsiliepimais, atrodo, kad yra per daug apklausų ir jiems reikia daug laiko jas užpildyti. Institucija turėtų peržiūrėti studentų apklausų kiekį ir kokybę. </w:t>
      </w:r>
    </w:p>
    <w:p w14:paraId="16FEFB1E" w14:textId="77777777" w:rsidR="004C026D" w:rsidRPr="00C5787E" w:rsidRDefault="004C026D" w:rsidP="004C026D">
      <w:pPr>
        <w:jc w:val="center"/>
        <w:rPr>
          <w:lang w:val="lt-LT"/>
        </w:rPr>
      </w:pPr>
      <w:r>
        <w:rPr>
          <w:lang w:val="lt-LT"/>
        </w:rPr>
        <w:t>________</w:t>
      </w:r>
      <w:r w:rsidRPr="00C5787E">
        <w:rPr>
          <w:lang w:val="lt-LT"/>
        </w:rPr>
        <w:t>_______</w:t>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r>
      <w:r w:rsidRPr="00C5787E">
        <w:rPr>
          <w:lang w:val="lt-LT"/>
        </w:rPr>
        <w:softHyphen/>
        <w:t>_____________</w:t>
      </w:r>
    </w:p>
    <w:p w14:paraId="16FEFB20" w14:textId="77777777" w:rsidR="004C026D" w:rsidRDefault="004C026D" w:rsidP="004C026D">
      <w:pPr>
        <w:pStyle w:val="BodyText2"/>
        <w:spacing w:after="0" w:line="240" w:lineRule="auto"/>
        <w:jc w:val="both"/>
        <w:rPr>
          <w:lang w:val="lt-LT"/>
        </w:rPr>
      </w:pPr>
    </w:p>
    <w:p w14:paraId="16FEFB21" w14:textId="77777777" w:rsidR="004C026D" w:rsidRPr="00C5787E" w:rsidRDefault="004C026D" w:rsidP="004C026D">
      <w:pPr>
        <w:pStyle w:val="BodyText2"/>
        <w:spacing w:after="0" w:line="240" w:lineRule="auto"/>
        <w:jc w:val="both"/>
        <w:rPr>
          <w:lang w:val="lt-LT"/>
        </w:rPr>
      </w:pPr>
      <w:r w:rsidRPr="00C5787E">
        <w:rPr>
          <w:lang w:val="lt-LT"/>
        </w:rPr>
        <w:t xml:space="preserve">Paslaugos teikėjas patvirtina, jog yra susipažinęs su Lietuvos Respublikos baudžiamojo kodekso 235 straipsnio, numatančio atsakomybę už melagingą ar žinomai neteisingai atliktą vertimą, reikalavimais. </w:t>
      </w:r>
    </w:p>
    <w:p w14:paraId="16FEFB22" w14:textId="77777777" w:rsidR="004C026D" w:rsidRPr="00C5787E" w:rsidRDefault="004C026D" w:rsidP="004C026D">
      <w:pPr>
        <w:pStyle w:val="BodyText2"/>
        <w:spacing w:after="0" w:line="240" w:lineRule="auto"/>
        <w:jc w:val="both"/>
        <w:rPr>
          <w:lang w:val="lt-LT"/>
        </w:rPr>
      </w:pPr>
    </w:p>
    <w:p w14:paraId="16FEFB23" w14:textId="77777777" w:rsidR="003A04DD" w:rsidRPr="00D71267" w:rsidRDefault="004C026D" w:rsidP="00D71267">
      <w:pPr>
        <w:pStyle w:val="BodyText2"/>
        <w:spacing w:line="240" w:lineRule="auto"/>
        <w:ind w:left="3888" w:firstLine="1296"/>
        <w:jc w:val="both"/>
        <w:rPr>
          <w:lang w:val="lt-LT"/>
        </w:rPr>
      </w:pPr>
      <w:r w:rsidRPr="00C5787E">
        <w:rPr>
          <w:lang w:val="lt-LT"/>
        </w:rPr>
        <w:t>Vertėjos rekvi</w:t>
      </w:r>
      <w:r w:rsidR="00D71267">
        <w:rPr>
          <w:lang w:val="lt-LT"/>
        </w:rPr>
        <w:t>zitai (vardas, pavardė, parašas)</w:t>
      </w:r>
    </w:p>
    <w:sectPr w:rsidR="003A04DD" w:rsidRPr="00D7126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1" w15:restartNumberingAfterBreak="0">
    <w:nsid w:val="33FA2CC0"/>
    <w:multiLevelType w:val="hybridMultilevel"/>
    <w:tmpl w:val="ECD67898"/>
    <w:lvl w:ilvl="0" w:tplc="52C607D0">
      <w:start w:val="2"/>
      <w:numFmt w:val="upperRoman"/>
      <w:lvlText w:val="%1."/>
      <w:lvlJc w:val="left"/>
      <w:pPr>
        <w:tabs>
          <w:tab w:val="num" w:pos="1080"/>
        </w:tabs>
        <w:ind w:left="1080" w:hanging="720"/>
      </w:pPr>
      <w:rPr>
        <w:rFonts w:hint="default"/>
      </w:rPr>
    </w:lvl>
    <w:lvl w:ilvl="1" w:tplc="FC3631EE">
      <w:start w:val="1"/>
      <w:numFmt w:val="decimal"/>
      <w:lvlText w:val="%2-"/>
      <w:lvlJc w:val="left"/>
      <w:pPr>
        <w:tabs>
          <w:tab w:val="num" w:pos="502"/>
        </w:tabs>
        <w:ind w:left="50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583B98"/>
    <w:multiLevelType w:val="hybridMultilevel"/>
    <w:tmpl w:val="6F661AE0"/>
    <w:lvl w:ilvl="0" w:tplc="59EAC7B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4B224B3"/>
    <w:multiLevelType w:val="multilevel"/>
    <w:tmpl w:val="D982E1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C53540E"/>
    <w:multiLevelType w:val="multilevel"/>
    <w:tmpl w:val="D982E1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6D"/>
    <w:rsid w:val="001F2A74"/>
    <w:rsid w:val="00216A9E"/>
    <w:rsid w:val="00361F71"/>
    <w:rsid w:val="00367E21"/>
    <w:rsid w:val="00387B16"/>
    <w:rsid w:val="003A04DD"/>
    <w:rsid w:val="003F0CF9"/>
    <w:rsid w:val="00443970"/>
    <w:rsid w:val="00447A90"/>
    <w:rsid w:val="00456961"/>
    <w:rsid w:val="004B2E14"/>
    <w:rsid w:val="004C026D"/>
    <w:rsid w:val="004E20CB"/>
    <w:rsid w:val="00561DB2"/>
    <w:rsid w:val="006C54F0"/>
    <w:rsid w:val="007D22C7"/>
    <w:rsid w:val="00894D10"/>
    <w:rsid w:val="008D2C95"/>
    <w:rsid w:val="008D632E"/>
    <w:rsid w:val="008F07F5"/>
    <w:rsid w:val="009157DF"/>
    <w:rsid w:val="009654E2"/>
    <w:rsid w:val="00AE29A2"/>
    <w:rsid w:val="00B44DDD"/>
    <w:rsid w:val="00C22F12"/>
    <w:rsid w:val="00CE0C67"/>
    <w:rsid w:val="00CF1AC5"/>
    <w:rsid w:val="00D37895"/>
    <w:rsid w:val="00D4008E"/>
    <w:rsid w:val="00D4161B"/>
    <w:rsid w:val="00D71267"/>
    <w:rsid w:val="00D877E4"/>
    <w:rsid w:val="00DB6B42"/>
    <w:rsid w:val="00E340ED"/>
    <w:rsid w:val="00E53437"/>
    <w:rsid w:val="00EF45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F942"/>
  <w15:docId w15:val="{B0762F43-9C2A-4DBA-A55E-AE699FB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6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387B16"/>
    <w:pPr>
      <w:keepNext/>
      <w:keepLines/>
      <w:spacing w:before="480" w:after="120" w:line="360" w:lineRule="auto"/>
      <w:jc w:val="center"/>
      <w:outlineLvl w:val="0"/>
    </w:pPr>
    <w:rPr>
      <w:rFonts w:ascii="Calibri" w:eastAsia="Calibri" w:hAnsi="Calibri" w:cs="Calibri"/>
      <w:b/>
      <w:color w:val="136C73"/>
      <w:sz w:val="28"/>
      <w:szCs w:val="48"/>
      <w:lang w:eastAsia="lt-LT"/>
    </w:rPr>
  </w:style>
  <w:style w:type="paragraph" w:styleId="Heading2">
    <w:name w:val="heading 2"/>
    <w:basedOn w:val="Normal"/>
    <w:next w:val="Normal"/>
    <w:link w:val="Heading2Char"/>
    <w:autoRedefine/>
    <w:uiPriority w:val="9"/>
    <w:unhideWhenUsed/>
    <w:qFormat/>
    <w:rsid w:val="00D37895"/>
    <w:pPr>
      <w:keepNext/>
      <w:keepLines/>
      <w:spacing w:before="360" w:after="80" w:line="360" w:lineRule="auto"/>
      <w:jc w:val="center"/>
      <w:outlineLvl w:val="1"/>
    </w:pPr>
    <w:rPr>
      <w:rFonts w:eastAsia="Calibri" w:cs="Calibri"/>
      <w:b/>
      <w:color w:val="136C73"/>
      <w:szCs w:val="36"/>
      <w:lang w:eastAsia="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16"/>
    <w:rPr>
      <w:rFonts w:ascii="Calibri" w:eastAsia="Calibri" w:hAnsi="Calibri" w:cs="Calibri"/>
      <w:b/>
      <w:color w:val="136C73"/>
      <w:sz w:val="28"/>
      <w:szCs w:val="48"/>
      <w:lang w:eastAsia="lt-LT"/>
    </w:rPr>
  </w:style>
  <w:style w:type="character" w:customStyle="1" w:styleId="Heading2Char">
    <w:name w:val="Heading 2 Char"/>
    <w:basedOn w:val="DefaultParagraphFont"/>
    <w:link w:val="Heading2"/>
    <w:uiPriority w:val="9"/>
    <w:rsid w:val="00D37895"/>
    <w:rPr>
      <w:rFonts w:eastAsia="Calibri" w:cs="Calibri"/>
      <w:b/>
      <w:color w:val="136C73"/>
      <w:sz w:val="24"/>
      <w:szCs w:val="36"/>
      <w:lang w:val="en-GB" w:eastAsia="de-DE" w:bidi="he-IL"/>
    </w:rPr>
  </w:style>
  <w:style w:type="paragraph" w:styleId="NoSpacing">
    <w:name w:val="No Spacing"/>
    <w:uiPriority w:val="1"/>
    <w:qFormat/>
    <w:rsid w:val="004C026D"/>
    <w:pPr>
      <w:spacing w:after="0" w:line="240" w:lineRule="auto"/>
    </w:pPr>
    <w:rPr>
      <w:rFonts w:ascii="Times New Roman" w:eastAsia="Calibri" w:hAnsi="Times New Roman" w:cs="Times New Roman"/>
      <w:sz w:val="24"/>
    </w:rPr>
  </w:style>
  <w:style w:type="paragraph" w:styleId="BodyText2">
    <w:name w:val="Body Text 2"/>
    <w:basedOn w:val="Normal"/>
    <w:link w:val="BodyText2Char"/>
    <w:rsid w:val="004C026D"/>
    <w:pPr>
      <w:spacing w:after="120" w:line="480" w:lineRule="auto"/>
    </w:pPr>
  </w:style>
  <w:style w:type="character" w:customStyle="1" w:styleId="BodyText2Char">
    <w:name w:val="Body Text 2 Char"/>
    <w:basedOn w:val="DefaultParagraphFont"/>
    <w:link w:val="BodyText2"/>
    <w:rsid w:val="004C026D"/>
    <w:rPr>
      <w:rFonts w:ascii="Times New Roman" w:eastAsia="Times New Roman" w:hAnsi="Times New Roman" w:cs="Times New Roman"/>
      <w:sz w:val="24"/>
      <w:szCs w:val="24"/>
      <w:lang w:val="en-GB"/>
    </w:rPr>
  </w:style>
  <w:style w:type="character" w:customStyle="1" w:styleId="fontstyle01">
    <w:name w:val="fontstyle01"/>
    <w:rsid w:val="004C026D"/>
    <w:rPr>
      <w:rFonts w:ascii="Times-Roman" w:hAnsi="Times-Roman" w:hint="default"/>
      <w:b w:val="0"/>
      <w:bCs w:val="0"/>
      <w:i w:val="0"/>
      <w:iCs w:val="0"/>
      <w:color w:val="000000"/>
      <w:sz w:val="24"/>
      <w:szCs w:val="24"/>
    </w:rPr>
  </w:style>
  <w:style w:type="paragraph" w:styleId="Footer">
    <w:name w:val="footer"/>
    <w:basedOn w:val="Normal"/>
    <w:link w:val="FooterChar"/>
    <w:uiPriority w:val="99"/>
    <w:unhideWhenUsed/>
    <w:rsid w:val="004C026D"/>
    <w:pPr>
      <w:tabs>
        <w:tab w:val="center" w:pos="4819"/>
        <w:tab w:val="right" w:pos="9638"/>
      </w:tabs>
    </w:pPr>
    <w:rPr>
      <w:rFonts w:asciiTheme="minorHAnsi" w:eastAsiaTheme="minorHAnsi" w:hAnsiTheme="minorHAnsi" w:cstheme="minorBidi"/>
      <w:sz w:val="22"/>
      <w:szCs w:val="22"/>
      <w:lang w:val="lt-LT"/>
    </w:rPr>
  </w:style>
  <w:style w:type="character" w:customStyle="1" w:styleId="FooterChar">
    <w:name w:val="Footer Char"/>
    <w:basedOn w:val="DefaultParagraphFont"/>
    <w:link w:val="Footer"/>
    <w:uiPriority w:val="99"/>
    <w:rsid w:val="004C026D"/>
  </w:style>
  <w:style w:type="table" w:styleId="TableGrid">
    <w:name w:val="Table Grid"/>
    <w:basedOn w:val="TableNormal"/>
    <w:uiPriority w:val="59"/>
    <w:rsid w:val="004C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26D"/>
    <w:rPr>
      <w:rFonts w:ascii="Tahoma" w:hAnsi="Tahoma" w:cs="Tahoma"/>
      <w:sz w:val="16"/>
      <w:szCs w:val="16"/>
    </w:rPr>
  </w:style>
  <w:style w:type="character" w:customStyle="1" w:styleId="BalloonTextChar">
    <w:name w:val="Balloon Text Char"/>
    <w:basedOn w:val="DefaultParagraphFont"/>
    <w:link w:val="BalloonText"/>
    <w:uiPriority w:val="99"/>
    <w:semiHidden/>
    <w:rsid w:val="004C026D"/>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216A9E"/>
    <w:rPr>
      <w:sz w:val="16"/>
      <w:szCs w:val="16"/>
    </w:rPr>
  </w:style>
  <w:style w:type="paragraph" w:styleId="CommentText">
    <w:name w:val="annotation text"/>
    <w:basedOn w:val="Normal"/>
    <w:link w:val="CommentTextChar"/>
    <w:uiPriority w:val="99"/>
    <w:semiHidden/>
    <w:unhideWhenUsed/>
    <w:rsid w:val="00216A9E"/>
    <w:rPr>
      <w:sz w:val="20"/>
      <w:szCs w:val="20"/>
    </w:rPr>
  </w:style>
  <w:style w:type="character" w:customStyle="1" w:styleId="CommentTextChar">
    <w:name w:val="Comment Text Char"/>
    <w:basedOn w:val="DefaultParagraphFont"/>
    <w:link w:val="CommentText"/>
    <w:uiPriority w:val="99"/>
    <w:semiHidden/>
    <w:rsid w:val="00216A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16A9E"/>
    <w:rPr>
      <w:b/>
      <w:bCs/>
    </w:rPr>
  </w:style>
  <w:style w:type="character" w:customStyle="1" w:styleId="CommentSubjectChar">
    <w:name w:val="Comment Subject Char"/>
    <w:basedOn w:val="CommentTextChar"/>
    <w:link w:val="CommentSubject"/>
    <w:uiPriority w:val="99"/>
    <w:semiHidden/>
    <w:rsid w:val="00216A9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12798</Words>
  <Characters>7295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Charževskytė</dc:creator>
  <cp:lastModifiedBy>Giedrutė Mikaločienė</cp:lastModifiedBy>
  <cp:revision>2</cp:revision>
  <dcterms:created xsi:type="dcterms:W3CDTF">2021-09-14T09:22:00Z</dcterms:created>
  <dcterms:modified xsi:type="dcterms:W3CDTF">2021-09-14T09:22:00Z</dcterms:modified>
</cp:coreProperties>
</file>